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2E283">
      <w:pPr>
        <w:pStyle w:val="4"/>
        <w:numPr>
          <w:ilvl w:val="0"/>
          <w:numId w:val="0"/>
        </w:numPr>
        <w:rPr>
          <w:rFonts w:hint="default" w:ascii="Times New Roman" w:hAnsi="Times New Roman" w:eastAsia="方正黑体_GBK" w:cs="Times New Roman"/>
          <w:color w:val="auto"/>
          <w:spacing w:val="-6"/>
          <w:kern w:val="2"/>
          <w:sz w:val="32"/>
          <w:szCs w:val="32"/>
          <w:lang w:val="en-US" w:eastAsia="zh-CN" w:bidi="ar-SA"/>
        </w:rPr>
      </w:pPr>
      <w:r>
        <w:rPr>
          <w:rFonts w:hint="default" w:ascii="Times New Roman" w:hAnsi="Times New Roman" w:eastAsia="方正黑体_GBK" w:cs="Times New Roman"/>
          <w:color w:val="auto"/>
          <w:spacing w:val="-6"/>
          <w:kern w:val="2"/>
          <w:sz w:val="32"/>
          <w:szCs w:val="32"/>
          <w:lang w:val="en-US" w:eastAsia="zh-CN" w:bidi="ar-SA"/>
        </w:rPr>
        <w:t>附件</w:t>
      </w:r>
      <w:r>
        <w:rPr>
          <w:rFonts w:hint="default" w:ascii="Times New Roman" w:hAnsi="Times New Roman" w:eastAsia="方正黑体_GBK" w:cs="Times New Roman"/>
          <w:color w:val="auto"/>
          <w:spacing w:val="-6"/>
          <w:kern w:val="2"/>
          <w:sz w:val="32"/>
          <w:szCs w:val="32"/>
          <w:lang w:val="en-US" w:eastAsia="zh-CN" w:bidi="ar-SA"/>
        </w:rPr>
        <w:t>3</w:t>
      </w:r>
    </w:p>
    <w:p w14:paraId="7CF63714">
      <w:pPr>
        <w:pStyle w:val="4"/>
        <w:numPr>
          <w:ilvl w:val="0"/>
          <w:numId w:val="0"/>
        </w:numPr>
        <w:rPr>
          <w:rFonts w:hint="eastAsia" w:ascii="仿宋_GB2312" w:hAnsi="仿宋" w:cs="仿宋"/>
          <w:color w:val="auto"/>
          <w:spacing w:val="-6"/>
          <w:kern w:val="2"/>
          <w:sz w:val="32"/>
          <w:szCs w:val="32"/>
          <w:lang w:val="en-US" w:eastAsia="zh-CN" w:bidi="ar-SA"/>
        </w:rPr>
      </w:pPr>
    </w:p>
    <w:p w14:paraId="5520F8D0">
      <w:pPr>
        <w:keepNext w:val="0"/>
        <w:keepLines w:val="0"/>
        <w:pageBreakBefore w:val="0"/>
        <w:widowControl w:val="0"/>
        <w:kinsoku/>
        <w:wordWrap/>
        <w:overflowPunct/>
        <w:topLinePunct w:val="0"/>
        <w:autoSpaceDE/>
        <w:autoSpaceDN/>
        <w:bidi w:val="0"/>
        <w:adjustRightInd/>
        <w:snapToGrid/>
        <w:spacing w:line="560" w:lineRule="exact"/>
        <w:ind w:left="0" w:leftChars="0" w:firstLine="0"/>
        <w:contextualSpacing/>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医保定点药店</w:t>
      </w:r>
      <w:r>
        <w:rPr>
          <w:rFonts w:hint="eastAsia" w:ascii="方正小标宋_GBK" w:hAnsi="方正小标宋_GBK" w:eastAsia="方正小标宋_GBK" w:cs="方正小标宋_GBK"/>
          <w:sz w:val="44"/>
          <w:szCs w:val="44"/>
          <w:lang w:eastAsia="zh-CN"/>
        </w:rPr>
        <w:t>入驻线上</w:t>
      </w:r>
      <w:r>
        <w:rPr>
          <w:rFonts w:hint="eastAsia" w:ascii="方正小标宋_GBK" w:hAnsi="方正小标宋_GBK" w:eastAsia="方正小标宋_GBK" w:cs="方正小标宋_GBK"/>
          <w:sz w:val="44"/>
          <w:szCs w:val="44"/>
        </w:rPr>
        <w:t>购药平台承诺书</w:t>
      </w:r>
    </w:p>
    <w:bookmarkEnd w:id="0"/>
    <w:p w14:paraId="2C811A1F">
      <w:pPr>
        <w:pStyle w:val="4"/>
        <w:keepNext w:val="0"/>
        <w:keepLines w:val="0"/>
        <w:pageBreakBefore w:val="0"/>
        <w:widowControl w:val="0"/>
        <w:kinsoku/>
        <w:overflowPunct/>
        <w:topLinePunct w:val="0"/>
        <w:autoSpaceDE/>
        <w:autoSpaceDN/>
        <w:bidi w:val="0"/>
        <w:adjustRightInd/>
        <w:snapToGrid/>
        <w:spacing w:line="560" w:lineRule="exact"/>
        <w:ind w:left="0" w:leftChars="0" w:firstLine="0" w:firstLineChars="0"/>
        <w:rPr>
          <w:rFonts w:hint="default" w:eastAsia="仿宋_GB2312"/>
          <w:lang w:val="en-US" w:eastAsia="zh-CN"/>
        </w:rPr>
      </w:pPr>
    </w:p>
    <w:p w14:paraId="7814F5DE">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本单位</w:t>
      </w:r>
      <w:r>
        <w:rPr>
          <w:rFonts w:hint="default" w:ascii="Times New Roman" w:hAnsi="Times New Roman" w:eastAsia="方正仿宋_GBK" w:cs="Times New Roman"/>
          <w:sz w:val="32"/>
          <w:szCs w:val="32"/>
          <w:lang w:eastAsia="zh-CN" w:bidi="ar"/>
        </w:rPr>
        <w:t>自愿</w:t>
      </w:r>
      <w:r>
        <w:rPr>
          <w:rFonts w:hint="default" w:ascii="Times New Roman" w:hAnsi="Times New Roman" w:eastAsia="方正仿宋_GBK" w:cs="Times New Roman"/>
          <w:sz w:val="32"/>
          <w:szCs w:val="32"/>
          <w:lang w:bidi="ar"/>
        </w:rPr>
        <w:t>承诺，在</w:t>
      </w:r>
      <w:r>
        <w:rPr>
          <w:rFonts w:hint="default" w:ascii="Times New Roman" w:hAnsi="Times New Roman" w:eastAsia="方正仿宋_GBK" w:cs="Times New Roman"/>
          <w:sz w:val="32"/>
          <w:szCs w:val="32"/>
          <w:lang w:eastAsia="zh-CN" w:bidi="ar"/>
        </w:rPr>
        <w:t>入驻线上</w:t>
      </w:r>
      <w:r>
        <w:rPr>
          <w:rFonts w:hint="default" w:ascii="Times New Roman" w:hAnsi="Times New Roman" w:eastAsia="方正仿宋_GBK" w:cs="Times New Roman"/>
          <w:sz w:val="32"/>
          <w:szCs w:val="32"/>
          <w:lang w:bidi="ar"/>
        </w:rPr>
        <w:t>购药平台开展医保</w:t>
      </w:r>
      <w:r>
        <w:rPr>
          <w:rFonts w:hint="default" w:ascii="Times New Roman" w:hAnsi="Times New Roman" w:eastAsia="方正仿宋_GBK" w:cs="Times New Roman"/>
          <w:sz w:val="32"/>
          <w:szCs w:val="32"/>
          <w:lang w:eastAsia="zh-CN" w:bidi="ar"/>
        </w:rPr>
        <w:t>个人账户</w:t>
      </w:r>
      <w:r>
        <w:rPr>
          <w:rFonts w:hint="default" w:ascii="Times New Roman" w:hAnsi="Times New Roman" w:eastAsia="方正仿宋_GBK" w:cs="Times New Roman"/>
          <w:sz w:val="32"/>
          <w:szCs w:val="32"/>
          <w:lang w:bidi="ar"/>
        </w:rPr>
        <w:t>在线支付服务过程中，将严格遵守《中华人民共和国社会保险法》《医疗保障基金使用监督管理条例》《零售药店医疗保障定点管理暂行办法》以及国家、省、市相关医疗保障法律法规和政策规定。本单位深知作为医保定点药店的责任重大，自愿按照相关规定和要求，</w:t>
      </w:r>
      <w:r>
        <w:rPr>
          <w:rFonts w:hint="default" w:ascii="Times New Roman" w:hAnsi="Times New Roman" w:eastAsia="方正仿宋_GBK" w:cs="Times New Roman"/>
          <w:sz w:val="32"/>
          <w:szCs w:val="32"/>
          <w:lang w:eastAsia="zh-CN" w:bidi="ar"/>
        </w:rPr>
        <w:t>为参保人员</w:t>
      </w:r>
      <w:r>
        <w:rPr>
          <w:rFonts w:hint="default" w:ascii="Times New Roman" w:hAnsi="Times New Roman" w:eastAsia="方正仿宋_GBK" w:cs="Times New Roman"/>
          <w:sz w:val="32"/>
          <w:szCs w:val="32"/>
          <w:lang w:bidi="ar"/>
        </w:rPr>
        <w:t>提供规范、安全、</w:t>
      </w:r>
      <w:r>
        <w:rPr>
          <w:rFonts w:hint="default" w:ascii="Times New Roman" w:hAnsi="Times New Roman" w:eastAsia="方正仿宋_GBK" w:cs="Times New Roman"/>
          <w:sz w:val="32"/>
          <w:szCs w:val="32"/>
          <w:lang w:eastAsia="zh-CN" w:bidi="ar"/>
        </w:rPr>
        <w:t>优质、高效</w:t>
      </w:r>
      <w:r>
        <w:rPr>
          <w:rFonts w:hint="default" w:ascii="Times New Roman" w:hAnsi="Times New Roman" w:eastAsia="方正仿宋_GBK" w:cs="Times New Roman"/>
          <w:sz w:val="32"/>
          <w:szCs w:val="32"/>
          <w:lang w:bidi="ar"/>
        </w:rPr>
        <w:t>的在线医保药品销售服务，</w:t>
      </w:r>
      <w:r>
        <w:rPr>
          <w:rFonts w:hint="default" w:ascii="Times New Roman" w:hAnsi="Times New Roman" w:eastAsia="方正仿宋_GBK" w:cs="Times New Roman"/>
          <w:sz w:val="32"/>
          <w:szCs w:val="32"/>
        </w:rPr>
        <w:t>积极配合医保部门提供相关数据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严格加强定点零售药店的日常管理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确保相关数据安全、履行保密义务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bidi="ar"/>
        </w:rPr>
        <w:t>并接受医保部门的全方位监管。</w:t>
      </w:r>
      <w:r>
        <w:rPr>
          <w:rFonts w:hint="default" w:ascii="Times New Roman" w:hAnsi="Times New Roman" w:eastAsia="方正仿宋_GBK" w:cs="Times New Roman"/>
          <w:sz w:val="32"/>
          <w:szCs w:val="32"/>
        </w:rPr>
        <w:t>对于违反承诺内容的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医</w:t>
      </w:r>
      <w:r>
        <w:rPr>
          <w:rFonts w:hint="default" w:ascii="Times New Roman" w:hAnsi="Times New Roman" w:eastAsia="方正仿宋_GBK" w:cs="Times New Roman"/>
          <w:sz w:val="32"/>
          <w:szCs w:val="32"/>
          <w:lang w:val="en-US" w:eastAsia="zh-CN"/>
        </w:rPr>
        <w:t>保部门</w:t>
      </w:r>
      <w:r>
        <w:rPr>
          <w:rFonts w:hint="default" w:ascii="Times New Roman" w:hAnsi="Times New Roman" w:eastAsia="方正仿宋_GBK" w:cs="Times New Roman"/>
          <w:sz w:val="32"/>
          <w:szCs w:val="32"/>
        </w:rPr>
        <w:t>可中止或终止</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参与开展此项工作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具体承诺事项如下：</w:t>
      </w:r>
    </w:p>
    <w:p w14:paraId="311294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方正黑体_GBK" w:hAnsi="方正黑体_GBK" w:eastAsia="方正黑体_GBK" w:cs="方正黑体_GBK"/>
          <w:sz w:val="32"/>
          <w:szCs w:val="32"/>
          <w:lang w:bidi="ar"/>
        </w:rPr>
      </w:pPr>
      <w:r>
        <w:rPr>
          <w:rFonts w:hint="eastAsia" w:ascii="方正黑体_GBK" w:hAnsi="方正黑体_GBK" w:eastAsia="方正黑体_GBK" w:cs="方正黑体_GBK"/>
          <w:sz w:val="32"/>
          <w:szCs w:val="32"/>
          <w:lang w:eastAsia="zh-CN" w:bidi="ar"/>
        </w:rPr>
        <w:t>一</w:t>
      </w:r>
      <w:r>
        <w:rPr>
          <w:rFonts w:hint="eastAsia" w:ascii="方正黑体_GBK" w:hAnsi="方正黑体_GBK" w:eastAsia="方正黑体_GBK" w:cs="方正黑体_GBK"/>
          <w:sz w:val="32"/>
          <w:szCs w:val="32"/>
          <w:lang w:bidi="ar"/>
        </w:rPr>
        <w:t>、基本承诺</w:t>
      </w:r>
    </w:p>
    <w:p w14:paraId="11FECD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承诺遵守互联网销售规定，遵守定点零售药店协议管理要求，具备以下条件与能力，确保合规开展在线医保药品销售服务：</w:t>
      </w:r>
    </w:p>
    <w:p w14:paraId="7A57AA9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1.</w:t>
      </w:r>
      <w:r>
        <w:rPr>
          <w:rFonts w:hint="default" w:ascii="Times New Roman" w:hAnsi="Times New Roman" w:eastAsia="方正仿宋_GBK" w:cs="Times New Roman"/>
          <w:sz w:val="32"/>
          <w:szCs w:val="32"/>
          <w:lang w:bidi="ar"/>
        </w:rPr>
        <w:t>资质</w:t>
      </w:r>
      <w:r>
        <w:rPr>
          <w:rFonts w:hint="default" w:ascii="Times New Roman" w:hAnsi="Times New Roman" w:eastAsia="方正仿宋_GBK" w:cs="Times New Roman"/>
          <w:sz w:val="32"/>
          <w:szCs w:val="32"/>
          <w:lang w:val="en-US" w:eastAsia="zh-CN" w:bidi="ar"/>
        </w:rPr>
        <w:t>齐全</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依法取得《药品经营许可证》《营业执照》等资质证照，确保所有资质持续有效且在显眼位置公示。</w:t>
      </w:r>
    </w:p>
    <w:p w14:paraId="5E8219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2.</w:t>
      </w:r>
      <w:r>
        <w:rPr>
          <w:rFonts w:hint="default" w:ascii="Times New Roman" w:hAnsi="Times New Roman" w:eastAsia="方正仿宋_GBK" w:cs="Times New Roman"/>
          <w:sz w:val="32"/>
          <w:szCs w:val="32"/>
          <w:lang w:bidi="ar"/>
        </w:rPr>
        <w:t>经营稳定</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保持经营场所稳定，1年内不随意变更营业地址；具有良好的商业信誉，</w:t>
      </w:r>
      <w:r>
        <w:rPr>
          <w:rFonts w:hint="default" w:ascii="Times New Roman" w:hAnsi="Times New Roman" w:eastAsia="方正仿宋_GBK" w:cs="Times New Roman"/>
          <w:sz w:val="32"/>
          <w:szCs w:val="32"/>
          <w:lang w:val="en-US" w:eastAsia="zh-CN" w:bidi="ar"/>
        </w:rPr>
        <w:t>近1</w:t>
      </w:r>
      <w:r>
        <w:rPr>
          <w:rFonts w:hint="default" w:ascii="Times New Roman" w:hAnsi="Times New Roman" w:eastAsia="方正仿宋_GBK" w:cs="Times New Roman"/>
          <w:sz w:val="32"/>
          <w:szCs w:val="32"/>
          <w:lang w:bidi="ar"/>
        </w:rPr>
        <w:t>年内无行政处罚记录。</w:t>
      </w:r>
    </w:p>
    <w:p w14:paraId="2A54BE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3.具备必要</w:t>
      </w:r>
      <w:r>
        <w:rPr>
          <w:rFonts w:hint="default" w:ascii="Times New Roman" w:hAnsi="Times New Roman" w:eastAsia="方正仿宋_GBK" w:cs="Times New Roman"/>
          <w:sz w:val="32"/>
          <w:szCs w:val="32"/>
          <w:lang w:bidi="ar"/>
        </w:rPr>
        <w:t>信息系统</w:t>
      </w:r>
      <w:r>
        <w:rPr>
          <w:rFonts w:hint="default" w:ascii="Times New Roman" w:hAnsi="Times New Roman" w:eastAsia="方正仿宋_GBK" w:cs="Times New Roman"/>
          <w:sz w:val="32"/>
          <w:szCs w:val="32"/>
          <w:lang w:val="en-US" w:eastAsia="zh-CN" w:bidi="ar"/>
        </w:rPr>
        <w:t>条件。</w:t>
      </w:r>
      <w:r>
        <w:rPr>
          <w:rFonts w:hint="default" w:ascii="Times New Roman" w:hAnsi="Times New Roman" w:eastAsia="方正仿宋_GBK" w:cs="Times New Roman"/>
          <w:sz w:val="32"/>
          <w:szCs w:val="32"/>
          <w:lang w:bidi="ar"/>
        </w:rPr>
        <w:t>具备与医保平台、在线购药平台对接的技术能力，支持电子处方流转、医保移动混合支付（包括医保个人账户及个人现金支付）。</w:t>
      </w:r>
    </w:p>
    <w:p w14:paraId="384285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4.</w:t>
      </w:r>
      <w:r>
        <w:rPr>
          <w:rFonts w:hint="default" w:ascii="Times New Roman" w:hAnsi="Times New Roman" w:eastAsia="方正仿宋_GBK" w:cs="Times New Roman"/>
          <w:sz w:val="32"/>
          <w:szCs w:val="32"/>
          <w:lang w:bidi="ar"/>
        </w:rPr>
        <w:t>全程追溯能力</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完整保留参保人电子处方、购药配药记录、药品购销存记录等信息，实现全程可追溯，</w:t>
      </w:r>
      <w:r>
        <w:rPr>
          <w:rFonts w:hint="default" w:ascii="Times New Roman" w:hAnsi="Times New Roman" w:eastAsia="方正仿宋_GBK" w:cs="Times New Roman"/>
          <w:sz w:val="32"/>
          <w:szCs w:val="32"/>
          <w:lang w:val="en-US" w:eastAsia="zh-CN" w:bidi="ar"/>
        </w:rPr>
        <w:t>按要求做好药品</w:t>
      </w:r>
      <w:r>
        <w:rPr>
          <w:rFonts w:hint="default" w:ascii="Times New Roman" w:hAnsi="Times New Roman" w:eastAsia="方正仿宋_GBK" w:cs="Times New Roman"/>
          <w:sz w:val="32"/>
          <w:szCs w:val="32"/>
          <w:lang w:bidi="ar"/>
        </w:rPr>
        <w:t>追溯</w:t>
      </w:r>
      <w:r>
        <w:rPr>
          <w:rFonts w:hint="default" w:ascii="Times New Roman" w:hAnsi="Times New Roman" w:eastAsia="方正仿宋_GBK" w:cs="Times New Roman"/>
          <w:sz w:val="32"/>
          <w:szCs w:val="32"/>
          <w:lang w:val="en-US" w:eastAsia="zh-CN" w:bidi="ar"/>
        </w:rPr>
        <w:t>码采集应用，</w:t>
      </w:r>
      <w:r>
        <w:rPr>
          <w:rFonts w:hint="default" w:ascii="Times New Roman" w:hAnsi="Times New Roman" w:eastAsia="方正仿宋_GBK" w:cs="Times New Roman"/>
          <w:sz w:val="32"/>
          <w:szCs w:val="32"/>
          <w:lang w:bidi="ar"/>
        </w:rPr>
        <w:t>并按要求上传至医保信息平台。</w:t>
      </w:r>
    </w:p>
    <w:p w14:paraId="7EDA57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方正黑体_GBK" w:hAnsi="方正黑体_GBK" w:eastAsia="方正黑体_GBK" w:cs="方正黑体_GBK"/>
          <w:sz w:val="32"/>
          <w:szCs w:val="32"/>
          <w:lang w:eastAsia="zh-CN" w:bidi="ar"/>
        </w:rPr>
      </w:pPr>
      <w:r>
        <w:rPr>
          <w:rFonts w:hint="default" w:ascii="方正黑体_GBK" w:hAnsi="方正黑体_GBK" w:eastAsia="方正黑体_GBK" w:cs="方正黑体_GBK"/>
          <w:sz w:val="32"/>
          <w:szCs w:val="32"/>
          <w:lang w:eastAsia="zh-CN" w:bidi="ar"/>
        </w:rPr>
        <w:t>二、运营与服务承诺</w:t>
      </w:r>
    </w:p>
    <w:p w14:paraId="39847A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承诺具备以下条件与能力</w:t>
      </w:r>
      <w:r>
        <w:rPr>
          <w:rFonts w:hint="default" w:ascii="Times New Roman" w:hAnsi="Times New Roman" w:eastAsia="方正仿宋_GBK" w:cs="Times New Roman"/>
          <w:sz w:val="32"/>
          <w:szCs w:val="32"/>
          <w:lang w:eastAsia="zh-CN" w:bidi="ar"/>
        </w:rPr>
        <w:t>，提供优质在线医保药品销售运营服务</w:t>
      </w:r>
      <w:r>
        <w:rPr>
          <w:rFonts w:hint="default" w:ascii="Times New Roman" w:hAnsi="Times New Roman" w:eastAsia="方正仿宋_GBK" w:cs="Times New Roman"/>
          <w:sz w:val="32"/>
          <w:szCs w:val="32"/>
          <w:lang w:bidi="ar"/>
        </w:rPr>
        <w:t>：</w:t>
      </w:r>
    </w:p>
    <w:p w14:paraId="156F2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1.</w:t>
      </w:r>
      <w:r>
        <w:rPr>
          <w:rFonts w:hint="default" w:ascii="Times New Roman" w:hAnsi="Times New Roman" w:eastAsia="方正仿宋_GBK" w:cs="Times New Roman"/>
          <w:sz w:val="32"/>
          <w:szCs w:val="32"/>
          <w:lang w:bidi="ar"/>
        </w:rPr>
        <w:t>药品质量保障</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建立健全药品质量管理制度，严格执行《药品经营质量管理规范》（GSP）</w:t>
      </w:r>
      <w:r>
        <w:rPr>
          <w:rFonts w:hint="default" w:ascii="Times New Roman" w:hAnsi="Times New Roman" w:eastAsia="方正仿宋_GBK" w:cs="Times New Roman"/>
          <w:sz w:val="32"/>
          <w:szCs w:val="32"/>
          <w:lang w:eastAsia="zh-CN" w:bidi="ar"/>
        </w:rPr>
        <w:t>和</w:t>
      </w:r>
      <w:r>
        <w:rPr>
          <w:rFonts w:hint="default" w:ascii="Times New Roman" w:hAnsi="Times New Roman" w:eastAsia="方正仿宋_GBK" w:cs="Times New Roman"/>
          <w:sz w:val="32"/>
          <w:szCs w:val="32"/>
        </w:rPr>
        <w:t>《药品网络销售监督管理办法》</w:t>
      </w:r>
      <w:r>
        <w:rPr>
          <w:rFonts w:hint="default" w:ascii="Times New Roman" w:hAnsi="Times New Roman" w:eastAsia="方正仿宋_GBK" w:cs="Times New Roman"/>
          <w:sz w:val="32"/>
          <w:szCs w:val="32"/>
          <w:lang w:bidi="ar"/>
        </w:rPr>
        <w:t>，保证所售药品来源合法、质量可靠、储存合规，绝不销售假劣药品。</w:t>
      </w:r>
    </w:p>
    <w:p w14:paraId="4F93D7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2.</w:t>
      </w:r>
      <w:r>
        <w:rPr>
          <w:rFonts w:hint="default" w:ascii="Times New Roman" w:hAnsi="Times New Roman" w:eastAsia="方正仿宋_GBK" w:cs="Times New Roman"/>
          <w:sz w:val="32"/>
          <w:szCs w:val="32"/>
          <w:lang w:bidi="ar"/>
        </w:rPr>
        <w:t>价格与供应管理</w:t>
      </w:r>
    </w:p>
    <w:p w14:paraId="6DA506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eastAsia="zh-CN" w:bidi="ar"/>
        </w:rPr>
      </w:pP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val="en-US" w:eastAsia="zh-CN" w:bidi="ar"/>
        </w:rPr>
        <w:t>1</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价格执行</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严格执行药品价格政策，遵循公平合理、诚实信用</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质价相符的原则定价，所有药品明码标价，并向参保人员出具详细费用单据</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rPr>
        <w:t>及时准确维护药品价格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通过医保个人账户线上销售的药品仅限于OTC药品，且同一药品线上销售价格</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线下销售价格</w:t>
      </w:r>
      <w:r>
        <w:rPr>
          <w:rFonts w:hint="default" w:ascii="Times New Roman" w:hAnsi="Times New Roman" w:eastAsia="方正仿宋_GBK" w:cs="Times New Roman"/>
          <w:sz w:val="32"/>
          <w:szCs w:val="32"/>
          <w:lang w:val="en-US" w:eastAsia="zh-CN"/>
        </w:rPr>
        <w:t>基本一致</w:t>
      </w:r>
      <w:r>
        <w:rPr>
          <w:rFonts w:hint="default" w:ascii="Times New Roman" w:hAnsi="Times New Roman" w:eastAsia="方正仿宋_GBK" w:cs="Times New Roman"/>
          <w:sz w:val="32"/>
          <w:szCs w:val="32"/>
          <w:lang w:eastAsia="zh-CN"/>
        </w:rPr>
        <w:t>。</w:t>
      </w:r>
    </w:p>
    <w:p w14:paraId="1D036A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val="en-US" w:eastAsia="zh-CN" w:bidi="ar"/>
        </w:rPr>
        <w:t>2</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供应保障</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确保药品的供应稳定</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承诺</w:t>
      </w:r>
      <w:r>
        <w:rPr>
          <w:rFonts w:hint="default" w:ascii="Times New Roman" w:hAnsi="Times New Roman" w:eastAsia="方正仿宋_GBK" w:cs="Times New Roman"/>
          <w:sz w:val="32"/>
          <w:szCs w:val="32"/>
          <w:lang w:val="en-US" w:eastAsia="zh-CN" w:bidi="ar"/>
        </w:rPr>
        <w:t>无特殊情况不中断</w:t>
      </w:r>
      <w:r>
        <w:rPr>
          <w:rFonts w:hint="default" w:ascii="Times New Roman" w:hAnsi="Times New Roman" w:eastAsia="方正仿宋_GBK" w:cs="Times New Roman"/>
          <w:sz w:val="32"/>
          <w:szCs w:val="32"/>
          <w:lang w:bidi="ar"/>
        </w:rPr>
        <w:t>供应，并努力</w:t>
      </w:r>
      <w:r>
        <w:rPr>
          <w:rFonts w:hint="default" w:ascii="Times New Roman" w:hAnsi="Times New Roman" w:eastAsia="方正仿宋_GBK" w:cs="Times New Roman"/>
          <w:sz w:val="32"/>
          <w:szCs w:val="32"/>
          <w:lang w:val="en-US" w:eastAsia="zh-CN" w:bidi="ar"/>
        </w:rPr>
        <w:t>保障</w:t>
      </w:r>
      <w:r>
        <w:rPr>
          <w:rFonts w:hint="default" w:ascii="Times New Roman" w:hAnsi="Times New Roman" w:eastAsia="方正仿宋_GBK" w:cs="Times New Roman"/>
          <w:sz w:val="32"/>
          <w:szCs w:val="32"/>
          <w:lang w:bidi="ar"/>
        </w:rPr>
        <w:t>参保患者</w:t>
      </w:r>
      <w:r>
        <w:rPr>
          <w:rFonts w:hint="default" w:ascii="Times New Roman" w:hAnsi="Times New Roman" w:eastAsia="方正仿宋_GBK" w:cs="Times New Roman"/>
          <w:sz w:val="32"/>
          <w:szCs w:val="32"/>
          <w:lang w:val="en-US" w:eastAsia="zh-CN" w:bidi="ar"/>
        </w:rPr>
        <w:t>特殊</w:t>
      </w:r>
      <w:r>
        <w:rPr>
          <w:rFonts w:hint="default" w:ascii="Times New Roman" w:hAnsi="Times New Roman" w:eastAsia="方正仿宋_GBK" w:cs="Times New Roman"/>
          <w:sz w:val="32"/>
          <w:szCs w:val="32"/>
          <w:lang w:bidi="ar"/>
        </w:rPr>
        <w:t>的用药需求。</w:t>
      </w:r>
    </w:p>
    <w:p w14:paraId="1CE700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3</w:t>
      </w:r>
      <w:r>
        <w:rPr>
          <w:rFonts w:hint="default" w:ascii="Times New Roman" w:hAnsi="Times New Roman" w:eastAsia="方正仿宋_GBK" w:cs="Times New Roman"/>
          <w:sz w:val="32"/>
          <w:szCs w:val="32"/>
          <w:lang w:bidi="ar"/>
        </w:rPr>
        <w:t>.配送与隐私保护</w:t>
      </w:r>
    </w:p>
    <w:p w14:paraId="65939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val="en-US" w:eastAsia="zh-CN" w:bidi="ar"/>
        </w:rPr>
        <w:t>1</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选择信誉良好的配送服务商，确保药品（特别是冷链药品）配送过程保质保量、及时安全。所产生的配送费用明确标示，不纳入医保基金支付范围。</w:t>
      </w:r>
    </w:p>
    <w:p w14:paraId="116D91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val="en-US" w:eastAsia="zh-CN" w:bidi="ar"/>
        </w:rPr>
        <w:t>2</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建立严格的信息保密制度，保护参保人员的个人信息和医疗隐私，绝不泄露给任何第三方，并采取必要技术措施防止信息泄露。</w:t>
      </w:r>
    </w:p>
    <w:p w14:paraId="076610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方正黑体_GBK" w:hAnsi="方正黑体_GBK" w:eastAsia="方正黑体_GBK" w:cs="方正黑体_GBK"/>
          <w:sz w:val="32"/>
          <w:szCs w:val="32"/>
          <w:lang w:eastAsia="zh-CN" w:bidi="ar"/>
        </w:rPr>
      </w:pPr>
      <w:r>
        <w:rPr>
          <w:rFonts w:hint="default" w:ascii="方正黑体_GBK" w:hAnsi="方正黑体_GBK" w:eastAsia="方正黑体_GBK" w:cs="方正黑体_GBK"/>
          <w:sz w:val="32"/>
          <w:szCs w:val="32"/>
          <w:lang w:val="en-US" w:eastAsia="zh-CN" w:bidi="ar"/>
        </w:rPr>
        <w:t>三</w:t>
      </w:r>
      <w:r>
        <w:rPr>
          <w:rFonts w:hint="default" w:ascii="方正黑体_GBK" w:hAnsi="方正黑体_GBK" w:eastAsia="方正黑体_GBK" w:cs="方正黑体_GBK"/>
          <w:sz w:val="32"/>
          <w:szCs w:val="32"/>
          <w:lang w:eastAsia="zh-CN" w:bidi="ar"/>
        </w:rPr>
        <w:t>、医保基金使用合规承诺</w:t>
      </w:r>
    </w:p>
    <w:p w14:paraId="433025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承诺具备以下条件与能力，全力维护医保基金安全：</w:t>
      </w:r>
    </w:p>
    <w:p w14:paraId="4A74F6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1.严格核验与交易</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严格执行实名制购药规定，核验参保人员身份与医疗保障凭证，确保人卡一致。绝不诱导、协助他人冒名或虚假购药。</w:t>
      </w:r>
    </w:p>
    <w:p w14:paraId="185097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2.规范结算行为</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如实上传医保结算数据，绝不伪造、变造、隐匿、涂改、销毁任何医学文书、会计凭证或电子信息以骗取医疗保障基金。绝不为参保人员利用医保待遇转卖药品、兑换现金、获取非法利益提供任何便利。</w:t>
      </w:r>
    </w:p>
    <w:p w14:paraId="154186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3</w:t>
      </w:r>
      <w:r>
        <w:rPr>
          <w:rFonts w:hint="default" w:ascii="Times New Roman" w:hAnsi="Times New Roman" w:eastAsia="方正仿宋_GBK" w:cs="Times New Roman"/>
          <w:sz w:val="32"/>
          <w:szCs w:val="32"/>
          <w:lang w:bidi="ar"/>
        </w:rPr>
        <w:t>.接受监督配合检查</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积极配合医保经办机构开展的医保费用审核、稽核检查、绩效考核等工作，自觉接受医疗保障行政部门的监督检查，并按规定提供所需材料和信息。定期参加医保政策培训，并向社会公开相关费用信息，接受社会监督。</w:t>
      </w:r>
    </w:p>
    <w:p w14:paraId="665BD0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方正黑体_GBK" w:hAnsi="方正黑体_GBK" w:eastAsia="方正黑体_GBK" w:cs="方正黑体_GBK"/>
          <w:sz w:val="32"/>
          <w:szCs w:val="32"/>
          <w:lang w:eastAsia="zh-CN" w:bidi="ar"/>
        </w:rPr>
      </w:pPr>
      <w:r>
        <w:rPr>
          <w:rFonts w:hint="default" w:ascii="方正黑体_GBK" w:hAnsi="方正黑体_GBK" w:eastAsia="方正黑体_GBK" w:cs="方正黑体_GBK"/>
          <w:sz w:val="32"/>
          <w:szCs w:val="32"/>
          <w:lang w:val="en-US" w:eastAsia="zh-CN" w:bidi="ar"/>
        </w:rPr>
        <w:t>四</w:t>
      </w:r>
      <w:r>
        <w:rPr>
          <w:rFonts w:hint="default" w:ascii="方正黑体_GBK" w:hAnsi="方正黑体_GBK" w:eastAsia="方正黑体_GBK" w:cs="方正黑体_GBK"/>
          <w:sz w:val="32"/>
          <w:szCs w:val="32"/>
          <w:lang w:eastAsia="zh-CN" w:bidi="ar"/>
        </w:rPr>
        <w:t>、违约责任</w:t>
      </w:r>
    </w:p>
    <w:p w14:paraId="79A3AE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若本单位在经营过程中未能持续满足本承诺书所列明的各项条件要求，或</w:t>
      </w:r>
      <w:r>
        <w:rPr>
          <w:rFonts w:hint="default" w:ascii="Times New Roman" w:hAnsi="Times New Roman" w:eastAsia="方正仿宋_GBK" w:cs="Times New Roman"/>
          <w:sz w:val="32"/>
          <w:szCs w:val="32"/>
          <w:lang w:val="en-US" w:eastAsia="zh-CN" w:bidi="ar"/>
        </w:rPr>
        <w:t>其他</w:t>
      </w:r>
      <w:r>
        <w:rPr>
          <w:rFonts w:hint="default" w:ascii="Times New Roman" w:hAnsi="Times New Roman" w:eastAsia="方正仿宋_GBK" w:cs="Times New Roman"/>
          <w:sz w:val="32"/>
          <w:szCs w:val="32"/>
          <w:lang w:bidi="ar"/>
        </w:rPr>
        <w:t>违反医保政策、法规及协议的行为，自愿接受医疗保障行政部门及医保经办机构依据相关规定作出的处理</w:t>
      </w:r>
      <w:r>
        <w:rPr>
          <w:rFonts w:hint="default" w:ascii="Times New Roman" w:hAnsi="Times New Roman" w:eastAsia="方正仿宋_GBK" w:cs="Times New Roman"/>
          <w:sz w:val="32"/>
          <w:szCs w:val="32"/>
          <w:lang w:eastAsia="zh-CN" w:bidi="ar"/>
        </w:rPr>
        <w:t>。</w:t>
      </w:r>
    </w:p>
    <w:p w14:paraId="610113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本承诺书自签署之日起生效。</w:t>
      </w:r>
    </w:p>
    <w:p w14:paraId="51F52680">
      <w:pPr>
        <w:keepNext w:val="0"/>
        <w:keepLines w:val="0"/>
        <w:pageBreakBefore w:val="0"/>
        <w:widowControl w:val="0"/>
        <w:kinsoku/>
        <w:wordWrap/>
        <w:overflowPunct/>
        <w:topLinePunct w:val="0"/>
        <w:autoSpaceDE/>
        <w:autoSpaceDN/>
        <w:bidi w:val="0"/>
        <w:adjustRightInd/>
        <w:snapToGrid/>
        <w:spacing w:line="560" w:lineRule="exact"/>
        <w:ind w:left="0" w:leftChars="0" w:firstLine="0"/>
        <w:contextualSpacing/>
        <w:textAlignment w:val="auto"/>
        <w:rPr>
          <w:rFonts w:hint="eastAsia" w:ascii="方正仿宋_GBK" w:hAnsi="方正仿宋_GBK" w:eastAsia="方正仿宋_GBK" w:cs="方正仿宋_GBK"/>
          <w:sz w:val="32"/>
          <w:szCs w:val="32"/>
          <w:lang w:bidi="ar"/>
        </w:rPr>
      </w:pPr>
    </w:p>
    <w:p w14:paraId="4F422F15">
      <w:pPr>
        <w:keepNext w:val="0"/>
        <w:keepLines w:val="0"/>
        <w:pageBreakBefore w:val="0"/>
        <w:widowControl w:val="0"/>
        <w:kinsoku/>
        <w:wordWrap/>
        <w:overflowPunct/>
        <w:topLinePunct w:val="0"/>
        <w:autoSpaceDE/>
        <w:autoSpaceDN/>
        <w:bidi w:val="0"/>
        <w:adjustRightInd/>
        <w:snapToGrid/>
        <w:spacing w:line="560" w:lineRule="exact"/>
        <w:ind w:left="0" w:leftChars="0" w:firstLine="0"/>
        <w:contextualSpacing/>
        <w:textAlignment w:val="auto"/>
        <w:rPr>
          <w:rFonts w:hint="default" w:ascii="Times New Roman" w:hAnsi="Times New Roman" w:eastAsia="方正仿宋_GBK" w:cs="Times New Roman"/>
          <w:sz w:val="32"/>
          <w:szCs w:val="32"/>
          <w:highlight w:val="none"/>
          <w:lang w:bidi="ar"/>
        </w:rPr>
      </w:pPr>
    </w:p>
    <w:p w14:paraId="5A0BCF9C">
      <w:pPr>
        <w:keepNext w:val="0"/>
        <w:keepLines w:val="0"/>
        <w:pageBreakBefore w:val="0"/>
        <w:widowControl w:val="0"/>
        <w:kinsoku/>
        <w:wordWrap/>
        <w:overflowPunct/>
        <w:topLinePunct w:val="0"/>
        <w:autoSpaceDE/>
        <w:autoSpaceDN/>
        <w:bidi w:val="0"/>
        <w:adjustRightInd/>
        <w:snapToGrid/>
        <w:spacing w:line="560" w:lineRule="exact"/>
        <w:ind w:firstLine="3520" w:firstLineChars="1100"/>
        <w:contextualSpacing/>
        <w:textAlignment w:val="auto"/>
        <w:rPr>
          <w:rFonts w:hint="default" w:ascii="Times New Roman" w:hAnsi="Times New Roman" w:eastAsia="方正仿宋_GBK" w:cs="Times New Roman"/>
          <w:sz w:val="32"/>
          <w:szCs w:val="32"/>
          <w:highlight w:val="none"/>
          <w:lang w:bidi="ar"/>
        </w:rPr>
      </w:pPr>
      <w:r>
        <w:rPr>
          <w:rFonts w:hint="default" w:ascii="Times New Roman" w:hAnsi="Times New Roman" w:eastAsia="方正仿宋_GBK" w:cs="Times New Roman"/>
          <w:sz w:val="32"/>
          <w:szCs w:val="32"/>
          <w:highlight w:val="none"/>
          <w:lang w:bidi="ar"/>
        </w:rPr>
        <w:t>承诺单位（公章）：</w:t>
      </w:r>
    </w:p>
    <w:p w14:paraId="7E19BE33">
      <w:pPr>
        <w:keepNext w:val="0"/>
        <w:keepLines w:val="0"/>
        <w:pageBreakBefore w:val="0"/>
        <w:widowControl w:val="0"/>
        <w:kinsoku/>
        <w:wordWrap/>
        <w:overflowPunct/>
        <w:topLinePunct w:val="0"/>
        <w:autoSpaceDE/>
        <w:autoSpaceDN/>
        <w:bidi w:val="0"/>
        <w:adjustRightInd/>
        <w:snapToGrid/>
        <w:spacing w:line="560" w:lineRule="exact"/>
        <w:ind w:left="3523" w:leftChars="1101" w:firstLine="0" w:firstLineChars="0"/>
        <w:contextualSpacing/>
        <w:textAlignment w:val="auto"/>
        <w:rPr>
          <w:rFonts w:hint="default" w:ascii="Times New Roman" w:hAnsi="Times New Roman" w:eastAsia="方正仿宋_GBK" w:cs="Times New Roman"/>
          <w:sz w:val="32"/>
          <w:szCs w:val="32"/>
          <w:highlight w:val="none"/>
          <w:lang w:bidi="ar"/>
        </w:rPr>
      </w:pPr>
      <w:r>
        <w:rPr>
          <w:rFonts w:hint="default" w:ascii="Times New Roman" w:hAnsi="Times New Roman" w:eastAsia="方正仿宋_GBK" w:cs="Times New Roman"/>
          <w:sz w:val="32"/>
          <w:szCs w:val="32"/>
          <w:highlight w:val="none"/>
          <w:lang w:bidi="ar"/>
        </w:rPr>
        <w:t>法定代表人（签字）：</w:t>
      </w:r>
    </w:p>
    <w:p w14:paraId="4543A4C8">
      <w:pPr>
        <w:keepNext w:val="0"/>
        <w:keepLines w:val="0"/>
        <w:pageBreakBefore w:val="0"/>
        <w:widowControl w:val="0"/>
        <w:kinsoku/>
        <w:wordWrap/>
        <w:overflowPunct/>
        <w:topLinePunct w:val="0"/>
        <w:autoSpaceDE/>
        <w:autoSpaceDN/>
        <w:bidi w:val="0"/>
        <w:adjustRightInd/>
        <w:snapToGrid/>
        <w:spacing w:line="560" w:lineRule="exact"/>
        <w:ind w:left="3523" w:leftChars="1101" w:firstLine="0" w:firstLineChars="0"/>
        <w:contextualSpacing/>
        <w:textAlignment w:val="auto"/>
        <w:rPr>
          <w:rFonts w:hint="default" w:ascii="Times New Roman" w:hAnsi="Times New Roman" w:eastAsia="方正仿宋_GBK" w:cs="Times New Roman"/>
          <w:sz w:val="32"/>
          <w:szCs w:val="32"/>
          <w:highlight w:val="none"/>
          <w:lang w:bidi="ar"/>
        </w:rPr>
      </w:pPr>
      <w:r>
        <w:rPr>
          <w:rFonts w:hint="default" w:ascii="Times New Roman" w:hAnsi="Times New Roman" w:eastAsia="方正仿宋_GBK" w:cs="Times New Roman"/>
          <w:sz w:val="32"/>
          <w:szCs w:val="32"/>
          <w:highlight w:val="none"/>
          <w:lang w:bidi="ar"/>
        </w:rPr>
        <w:t>日期：    年    月    日</w:t>
      </w:r>
    </w:p>
    <w:p w14:paraId="225431B5"/>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F7B0B"/>
    <w:rsid w:val="028F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2"/>
    <w:basedOn w:val="1"/>
    <w:qFormat/>
    <w:uiPriority w:val="0"/>
    <w:pPr>
      <w:spacing w:line="351" w:lineRule="atLeast"/>
      <w:ind w:firstLine="623"/>
      <w:textAlignment w:val="baseline"/>
    </w:pPr>
    <w:rPr>
      <w:rFonts w:eastAsia="仿宋_GB2312"/>
      <w:color w:val="000000"/>
      <w:sz w:val="3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2025-12-05T05:27:00Z</dcterms:created>
  <dc:creator>天天天天蓝123</dc:creator>
  <cp:lastModifiedBy>天天天天蓝123</cp:lastModifiedBy>
  <dcterms:modified xsi:type="dcterms:W3CDTF">2025-12-05T05:28:33Z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7BDFEC5048E647ABA40C69E58699D96C_11</vt:lpwstr>
  </property>
  <property fmtid="{D5CDD505-2E9C-101B-9397-08002B2CF9AE}" pid="4" name="KSOTemplateDocerSaveRecord">
    <vt:lpwstr>eyJoZGlkIjoiMTNjZTgxZTEwMGM3OGE0ZDVjOWUzZmEyNjUzYWI1YzIiLCJ1c2VySWQiOiIxNDE1NDI2NDI4In0=</vt:lpwstr>
  </property>
</Properties>
</file>