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AEA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ascii="黑体" w:hAnsi="黑体" w:eastAsia="黑体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Cs w:val="32"/>
        </w:rPr>
        <w:t>附件</w:t>
      </w:r>
    </w:p>
    <w:p w14:paraId="23F765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78" w:firstLineChars="177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业务档案整理及数字化服务外包项目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需求和评分标准</w:t>
      </w:r>
    </w:p>
    <w:p w14:paraId="3B67D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一、项目名称</w:t>
      </w:r>
    </w:p>
    <w:p w14:paraId="13776E17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业务档案整理及数字化服务外包项目</w:t>
      </w:r>
    </w:p>
    <w:p w14:paraId="444F05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highlight w:val="none"/>
        </w:rPr>
        <w:t>二、项目</w:t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highlight w:val="none"/>
          <w:lang w:eastAsia="zh-CN"/>
        </w:rPr>
        <w:t>需求</w:t>
      </w:r>
    </w:p>
    <w:p w14:paraId="722F5812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负责对市医保中心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2024年底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前已存放的各类档案（5公分档案盒共计8000盒左右，一箱大约8盒，现在库房存放约1000箱）进行存储、现场及远程查阅调阅等业务；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负责对202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年1月至202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年12月市医保中心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各类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档案进行整理、数字化、存储、现场及远程查询调阅等业务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按照“区分类别、分项归档”的原则进行分类归档，根据医保业务档案门类、保管期限进行编目、排架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，及时满足采购方档案查询要求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。根据国家档案局《机关档案管理规定》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《纸质档案数字化规范》（DA/T31-2017）等规定，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根据无锡市医疗保障基金管理中心实际需求开展工作，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包括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但不限于以下需求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</w:t>
      </w:r>
    </w:p>
    <w:p w14:paraId="715949B3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1.承包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方把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市医保中心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档案安全运输至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承包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方寻觅并得到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市医保中心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认可的地点，提供场地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存放市医保中心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2024年底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前的各类档案，对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2025年度的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档案进行整理和数字化，最后将整理好的档案交由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承包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方寻觅并得到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市医保中心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认可的档案馆保存，并委配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名专职人员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驻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档案馆负责档案查询工作。对保管期限为10年及10年以上的档案进行数字化加工，数字化和原件必须要做到统一。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另，委配1名专职人员长驻广瑞路2号医保中心本部，对医保中心日常档案整理工作进行现场服务。每年安排档案工作专业人员对市医保中心涉及档案工作职工进行1－2次档案业务培训。</w:t>
      </w:r>
    </w:p>
    <w:p w14:paraId="06CB4E61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2.承包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方根据档案整理归档的有关规定和要求，首先逐件进行装订或粘贴，然后按年度分类进行整理、盖章编号并确定保管期限、装入档案盒、打印目录、填写封面和封底（备考表）。在档案整理过程中，所需一切用具和档案装具均由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承包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方负责提供。其次将数字化的档案按要求输入相关软件系统。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财务、业务、文书等各类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档案分类存储并有明显区分标志，方便调阅。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提出调阅需求后，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通常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电子档案调阅不得超过1个工作日，纸质档案原件调阅不得超过2个工作日。如遇到特殊情况双方另行协商。</w:t>
      </w:r>
    </w:p>
    <w:p w14:paraId="067834F5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3.承包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到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市医保中心本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部及指定地点取件，双方当场清点件数、打包封条并附交接单，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承包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方直接运输至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整理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地点并附运输线路及时间打印件。档案交接给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承包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方后，在运输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、整理、存储、调阅等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过程中所发生的一切意外（如车辆损坏、交通事故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人员伤亡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以及档案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损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、丢失等），所产生的一切责任及费用均由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承包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方承担。</w:t>
      </w:r>
    </w:p>
    <w:p w14:paraId="3041A9F2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4.承包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方应做到归档资料齐全、装订或粘贴规范、管理期限认定准确、分类明晰、卷内文件（装入档案盒内）编号连续不缺号、目录与卷内文件一致；数字化件必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做到高度清晰（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扫描分辨率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300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dpi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以上），数字化件数量和原件数量一致；条目输入要做到方便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市医保中心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查询（具体方法在工作中双方商量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确定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数字化档案系统需开通权限便于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市医保中心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通过政服网站查询调阅，同时每季度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承包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方应把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档案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数字化PDF版本拷贝给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委托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方。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承包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方配合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市医保中心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开展医保业务档案查询、医保业务档案的分析、汇总工作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，承包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方须保持稳定的服务团队和有序的组织管理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 w14:paraId="08BD4084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/>
        <w:jc w:val="both"/>
        <w:textAlignment w:val="auto"/>
        <w:rPr>
          <w:rFonts w:ascii="Times New Roman" w:hAnsi="Times New Roman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5.承包方须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在每季度末完成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市医保中心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上一季度所有档案整理及数字化工作，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并在202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年6月30日前完成202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年1月1日至202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年12月31日的全部档案整理归档工作，如不能按时保质完成（市医保中心原因除外），经检查每缺少一个月的整理，市医保中心将在尾款中扣除成交总金额的5%；承包方要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确保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市医保中心档案工作在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无锡市档案局检查验收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中达到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合格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以上标准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，否则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市医保中心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将视情扣除一定的服务费用。</w:t>
      </w:r>
    </w:p>
    <w:p w14:paraId="789D04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6" w:firstLineChars="177"/>
        <w:jc w:val="both"/>
        <w:textAlignment w:val="auto"/>
        <w:rPr>
          <w:rFonts w:hint="default" w:ascii="方正黑体_GBK" w:hAnsi="方正黑体_GBK" w:eastAsia="方正黑体_GBK" w:cs="方正黑体_GBK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highlight w:val="none"/>
          <w:lang w:val="en-US" w:eastAsia="zh-CN"/>
        </w:rPr>
        <w:t>三、评分标准</w:t>
      </w:r>
    </w:p>
    <w:tbl>
      <w:tblPr>
        <w:tblStyle w:val="10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1"/>
        <w:gridCol w:w="1530"/>
        <w:gridCol w:w="975"/>
        <w:gridCol w:w="5649"/>
      </w:tblGrid>
      <w:tr w14:paraId="0CF49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6" w:hRule="atLeast"/>
          <w:jc w:val="center"/>
        </w:trPr>
        <w:tc>
          <w:tcPr>
            <w:tcW w:w="9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EB7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AE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评标指标</w:t>
            </w:r>
          </w:p>
        </w:tc>
        <w:tc>
          <w:tcPr>
            <w:tcW w:w="9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2B40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分值</w:t>
            </w:r>
          </w:p>
        </w:tc>
        <w:tc>
          <w:tcPr>
            <w:tcW w:w="5649" w:type="dxa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0B5A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评分依据</w:t>
            </w:r>
          </w:p>
        </w:tc>
      </w:tr>
      <w:tr w14:paraId="6C1AC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6" w:hRule="atLeast"/>
          <w:jc w:val="center"/>
        </w:trPr>
        <w:tc>
          <w:tcPr>
            <w:tcW w:w="9125" w:type="dxa"/>
            <w:gridSpan w:val="4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4C56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一、报价部分，共30分</w:t>
            </w:r>
          </w:p>
        </w:tc>
      </w:tr>
      <w:tr w14:paraId="194F1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2" w:hRule="atLeast"/>
          <w:jc w:val="center"/>
        </w:trPr>
        <w:tc>
          <w:tcPr>
            <w:tcW w:w="9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45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375B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报价部分</w:t>
            </w:r>
          </w:p>
        </w:tc>
        <w:tc>
          <w:tcPr>
            <w:tcW w:w="9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29F7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30</w:t>
            </w:r>
          </w:p>
        </w:tc>
        <w:tc>
          <w:tcPr>
            <w:tcW w:w="5649" w:type="dxa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0BF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价格得分统一采用低价优先法计算，即满足文件要求且报价最低的供应商的价格为投标基准价，其价格分为满分。其他供应商的价格分按照下列公式计算：</w:t>
            </w:r>
          </w:p>
          <w:p w14:paraId="113E23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投标报价得分=（投标基准价/投标单位报价）×30，保留两位小数。</w:t>
            </w:r>
          </w:p>
        </w:tc>
      </w:tr>
      <w:tr w14:paraId="50AA5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2" w:hRule="atLeast"/>
          <w:jc w:val="center"/>
        </w:trPr>
        <w:tc>
          <w:tcPr>
            <w:tcW w:w="9125" w:type="dxa"/>
            <w:gridSpan w:val="4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D7C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二、公司资质与实力部分，共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38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分</w:t>
            </w:r>
          </w:p>
        </w:tc>
      </w:tr>
      <w:tr w14:paraId="4B33E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1" w:hRule="atLeast"/>
          <w:jc w:val="center"/>
        </w:trPr>
        <w:tc>
          <w:tcPr>
            <w:tcW w:w="971" w:type="dxa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4C3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2</w:t>
            </w:r>
          </w:p>
        </w:tc>
        <w:tc>
          <w:tcPr>
            <w:tcW w:w="1530" w:type="dxa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DABF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供应商认证</w:t>
            </w:r>
          </w:p>
        </w:tc>
        <w:tc>
          <w:tcPr>
            <w:tcW w:w="9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F23D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10</w:t>
            </w:r>
          </w:p>
        </w:tc>
        <w:tc>
          <w:tcPr>
            <w:tcW w:w="5649" w:type="dxa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939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具有有效期内的质量管理体系认证证书、环境管理体系认证证书、职业健康管理体系认证证书、信息安全管理体系认证证书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具有省级及以上主管部门颁发的涉密数字加工乙级或以上资质证书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提供证书复印件，有一个得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分，最高得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分。</w:t>
            </w:r>
          </w:p>
        </w:tc>
      </w:tr>
      <w:tr w14:paraId="00D54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1" w:hRule="atLeast"/>
          <w:jc w:val="center"/>
        </w:trPr>
        <w:tc>
          <w:tcPr>
            <w:tcW w:w="971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ED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3</w:t>
            </w:r>
          </w:p>
        </w:tc>
        <w:tc>
          <w:tcPr>
            <w:tcW w:w="1530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9DCF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相关业绩</w:t>
            </w:r>
          </w:p>
        </w:tc>
        <w:tc>
          <w:tcPr>
            <w:tcW w:w="975" w:type="dxa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0737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8</w:t>
            </w:r>
          </w:p>
        </w:tc>
        <w:tc>
          <w:tcPr>
            <w:tcW w:w="5649" w:type="dxa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B7D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提供20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年1月1日起至202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年12月31日，和其他政府机关或事业单位类似档案整理服务合同（单份合同金额需大于10万元），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每提供1份得2分，最高得8分。</w:t>
            </w:r>
          </w:p>
        </w:tc>
      </w:tr>
      <w:tr w14:paraId="3EE83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" w:hRule="atLeast"/>
          <w:jc w:val="center"/>
        </w:trPr>
        <w:tc>
          <w:tcPr>
            <w:tcW w:w="97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FE8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4</w:t>
            </w:r>
          </w:p>
        </w:tc>
        <w:tc>
          <w:tcPr>
            <w:tcW w:w="153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ED2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人员配备</w:t>
            </w:r>
          </w:p>
        </w:tc>
        <w:tc>
          <w:tcPr>
            <w:tcW w:w="97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A73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11</w:t>
            </w:r>
          </w:p>
        </w:tc>
        <w:tc>
          <w:tcPr>
            <w:tcW w:w="5649" w:type="dxa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E9F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项目负责人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具有档案中级及以上职称，并有单位为其缴纳近3个月的社保证明，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得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分，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lang w:val="en-US" w:eastAsia="zh-CN"/>
              </w:rPr>
              <w:t>无则不得分。</w:t>
            </w:r>
          </w:p>
        </w:tc>
      </w:tr>
      <w:tr w14:paraId="0CA5A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atLeast"/>
          <w:jc w:val="center"/>
        </w:trPr>
        <w:tc>
          <w:tcPr>
            <w:tcW w:w="97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AB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3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818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75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567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5649" w:type="dxa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7C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拟投入其他人员（除项目负责人外）具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有档案初级及以上职称，并有单位为其缴纳近3个月的社保证明，有1人得2分，最高得6分。</w:t>
            </w:r>
          </w:p>
        </w:tc>
      </w:tr>
      <w:tr w14:paraId="14646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4" w:hRule="atLeast"/>
          <w:jc w:val="center"/>
        </w:trPr>
        <w:tc>
          <w:tcPr>
            <w:tcW w:w="97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4BB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3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641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75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33E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5649" w:type="dxa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7C1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委配1名专职人员长驻该档案馆负责档案查询工作，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专职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人员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具备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档案部门颁发的档案人员上岗资格证书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提供单位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lang w:val="en-US" w:eastAsia="zh-CN"/>
              </w:rPr>
              <w:t>为其缴纳的近3个月社保证明，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得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分，无则不得分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；</w:t>
            </w:r>
          </w:p>
          <w:p w14:paraId="6198E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委配1名专职人员长驻广瑞路2号医保中心本部，对医保中心日常档案整理工作进行现场服务，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专职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人员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具备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档案部门颁发的档案人员上岗资格证书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提供单位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lang w:val="en-US" w:eastAsia="zh-CN"/>
              </w:rPr>
              <w:t>为其缴纳的近3个月社保证明，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得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分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，无则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lang w:val="en-US" w:eastAsia="zh-CN"/>
              </w:rPr>
              <w:t>不得分。</w:t>
            </w:r>
          </w:p>
        </w:tc>
      </w:tr>
      <w:tr w14:paraId="1EE5E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6" w:hRule="atLeast"/>
          <w:jc w:val="center"/>
        </w:trPr>
        <w:tc>
          <w:tcPr>
            <w:tcW w:w="97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447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5</w:t>
            </w:r>
          </w:p>
        </w:tc>
        <w:tc>
          <w:tcPr>
            <w:tcW w:w="153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3B0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硬件设施</w:t>
            </w:r>
          </w:p>
        </w:tc>
        <w:tc>
          <w:tcPr>
            <w:tcW w:w="97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D44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7</w:t>
            </w:r>
          </w:p>
        </w:tc>
        <w:tc>
          <w:tcPr>
            <w:tcW w:w="5649" w:type="dxa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2DF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配备足够支撑项目处理量且处理能力强的工作电脑，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须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提供设备的购置发票，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有4台得基本分2分。每多配备1台加 0.5分，此项最多得3分；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lang w:val="en-US" w:eastAsia="zh-CN"/>
              </w:rPr>
              <w:t>未提供不得分。</w:t>
            </w:r>
          </w:p>
        </w:tc>
      </w:tr>
      <w:tr w14:paraId="1C80F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3" w:hRule="atLeast"/>
          <w:jc w:val="center"/>
        </w:trPr>
        <w:tc>
          <w:tcPr>
            <w:tcW w:w="97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45F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3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64E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75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B65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5649" w:type="dxa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642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配备足够支撑项目处理量且处理能力强的高速图文扫描仪，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须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提供设备的购置发票，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有2台得基本分1分，每多配备1台加 0.5分，此项最多得2分；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lang w:val="en-US" w:eastAsia="zh-CN"/>
              </w:rPr>
              <w:t>未提供不得分。</w:t>
            </w:r>
          </w:p>
        </w:tc>
      </w:tr>
      <w:tr w14:paraId="73D39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" w:hRule="atLeast"/>
          <w:jc w:val="center"/>
        </w:trPr>
        <w:tc>
          <w:tcPr>
            <w:tcW w:w="97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31D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3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91C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75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05C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5649" w:type="dxa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4E8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有专用车辆及驾驶人员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提供车辆的行驶证及驾驶人员的驾驶证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复印件，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同时提供单位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lang w:val="en-US" w:eastAsia="zh-CN"/>
              </w:rPr>
              <w:t>为驾驶员缴纳的近3个月社保证明，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得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分，无则不得分。</w:t>
            </w:r>
          </w:p>
        </w:tc>
      </w:tr>
      <w:tr w14:paraId="5B5A0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" w:hRule="atLeast"/>
          <w:jc w:val="center"/>
        </w:trPr>
        <w:tc>
          <w:tcPr>
            <w:tcW w:w="9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AE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6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5D93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档案数字化技术水平</w:t>
            </w:r>
          </w:p>
        </w:tc>
        <w:tc>
          <w:tcPr>
            <w:tcW w:w="9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E904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5649" w:type="dxa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575D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具有档案数字化相关方面的软件著作权登记证书的，提供证书复印件，有一个得1分，最高得2分。</w:t>
            </w:r>
          </w:p>
        </w:tc>
      </w:tr>
      <w:tr w14:paraId="48F01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" w:hRule="atLeast"/>
          <w:jc w:val="center"/>
        </w:trPr>
        <w:tc>
          <w:tcPr>
            <w:tcW w:w="9125" w:type="dxa"/>
            <w:gridSpan w:val="4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A20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三、技术方案（3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分）</w:t>
            </w:r>
          </w:p>
        </w:tc>
      </w:tr>
      <w:tr w14:paraId="30EC3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3" w:hRule="atLeast"/>
          <w:jc w:val="center"/>
        </w:trPr>
        <w:tc>
          <w:tcPr>
            <w:tcW w:w="97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7BC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7</w:t>
            </w:r>
          </w:p>
        </w:tc>
        <w:tc>
          <w:tcPr>
            <w:tcW w:w="153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0F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技术方案</w:t>
            </w:r>
          </w:p>
        </w:tc>
        <w:tc>
          <w:tcPr>
            <w:tcW w:w="97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048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32</w:t>
            </w:r>
          </w:p>
        </w:tc>
        <w:tc>
          <w:tcPr>
            <w:tcW w:w="5649" w:type="dxa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04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项目实施档案管理情况，整理方案、验收方案、工作流程等的科学性、合理性、规范性和可操作性较强的得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分，一般的得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分，较差的得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分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。</w:t>
            </w:r>
          </w:p>
        </w:tc>
      </w:tr>
      <w:tr w14:paraId="7B629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3" w:hRule="atLeast"/>
          <w:jc w:val="center"/>
        </w:trPr>
        <w:tc>
          <w:tcPr>
            <w:tcW w:w="97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F9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3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78D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75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F2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5649" w:type="dxa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FB3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zh-CN"/>
              </w:rPr>
              <w:t>明确提出数字化加工作业流程、图像处理方法、质量控制及差错防范措施。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措施合理规范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和可操作性较强的得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分，一般的得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分，较差的得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分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。</w:t>
            </w:r>
          </w:p>
        </w:tc>
      </w:tr>
      <w:tr w14:paraId="2D32C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8" w:hRule="atLeast"/>
          <w:jc w:val="center"/>
        </w:trPr>
        <w:tc>
          <w:tcPr>
            <w:tcW w:w="97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5A3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3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E6A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75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D02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5649" w:type="dxa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B18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安全保密方案：针对本项目的保密协议及严格的保密制度，现场保密管理制度及项目实施安全措施,描述科学详细合理的得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分，一般可行得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分，欠合理的得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分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。</w:t>
            </w:r>
          </w:p>
        </w:tc>
      </w:tr>
      <w:tr w14:paraId="54721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3" w:hRule="atLeast"/>
          <w:jc w:val="center"/>
        </w:trPr>
        <w:tc>
          <w:tcPr>
            <w:tcW w:w="97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840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3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50E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75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5C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5649" w:type="dxa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DD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zh-CN"/>
              </w:rPr>
              <w:t>应急方案是否全面、措施有力，针对性强、切实可行且具有特色,如对突发人员离职问题的应对措施情况，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描述详细合理的得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分，一般可行得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分，不够合理且不可行的得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分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。</w:t>
            </w:r>
          </w:p>
        </w:tc>
      </w:tr>
      <w:tr w14:paraId="1D04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  <w:jc w:val="center"/>
        </w:trPr>
        <w:tc>
          <w:tcPr>
            <w:tcW w:w="250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90D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合  计</w:t>
            </w:r>
          </w:p>
        </w:tc>
        <w:tc>
          <w:tcPr>
            <w:tcW w:w="9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60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100</w:t>
            </w:r>
          </w:p>
        </w:tc>
        <w:tc>
          <w:tcPr>
            <w:tcW w:w="5649" w:type="dxa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93C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</w:tbl>
    <w:p w14:paraId="04C6203C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备注：相关证明材料复印件加盖公章做到响应文件中，提供原件备查，不提供不得分。</w:t>
      </w:r>
    </w:p>
    <w:sectPr>
      <w:footerReference r:id="rId3" w:type="default"/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9566999"/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6D7F56C0">
        <w:pPr>
          <w:pStyle w:val="6"/>
          <w:jc w:val="center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7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 w14:paraId="4D400BD2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gxNGFmMTFiODJmNTQ4ZGExZTQ4ODQyOWRiZDU4NjcifQ=="/>
  </w:docVars>
  <w:rsids>
    <w:rsidRoot w:val="09D10B7C"/>
    <w:rsid w:val="000143F4"/>
    <w:rsid w:val="00064063"/>
    <w:rsid w:val="00087561"/>
    <w:rsid w:val="000B0B2A"/>
    <w:rsid w:val="001A1674"/>
    <w:rsid w:val="001C662A"/>
    <w:rsid w:val="001F216B"/>
    <w:rsid w:val="00271425"/>
    <w:rsid w:val="00291051"/>
    <w:rsid w:val="00292105"/>
    <w:rsid w:val="00294902"/>
    <w:rsid w:val="002A5B54"/>
    <w:rsid w:val="002B4B24"/>
    <w:rsid w:val="002F3355"/>
    <w:rsid w:val="00307FAB"/>
    <w:rsid w:val="003219DA"/>
    <w:rsid w:val="003355E8"/>
    <w:rsid w:val="00353BE6"/>
    <w:rsid w:val="00377F8A"/>
    <w:rsid w:val="004061C7"/>
    <w:rsid w:val="00410844"/>
    <w:rsid w:val="00431254"/>
    <w:rsid w:val="00435878"/>
    <w:rsid w:val="00492C3C"/>
    <w:rsid w:val="00497672"/>
    <w:rsid w:val="00517DBA"/>
    <w:rsid w:val="00533137"/>
    <w:rsid w:val="005373DB"/>
    <w:rsid w:val="005673DB"/>
    <w:rsid w:val="00581C14"/>
    <w:rsid w:val="005827A4"/>
    <w:rsid w:val="0059483D"/>
    <w:rsid w:val="005B5738"/>
    <w:rsid w:val="006051F6"/>
    <w:rsid w:val="00674433"/>
    <w:rsid w:val="0068564F"/>
    <w:rsid w:val="0069649C"/>
    <w:rsid w:val="006A619B"/>
    <w:rsid w:val="006C4225"/>
    <w:rsid w:val="006C6A12"/>
    <w:rsid w:val="00704CC2"/>
    <w:rsid w:val="007270BC"/>
    <w:rsid w:val="00765D62"/>
    <w:rsid w:val="00803D7C"/>
    <w:rsid w:val="008951DE"/>
    <w:rsid w:val="008B1C6F"/>
    <w:rsid w:val="008F529E"/>
    <w:rsid w:val="009046B0"/>
    <w:rsid w:val="009513A1"/>
    <w:rsid w:val="0096302B"/>
    <w:rsid w:val="009B5D65"/>
    <w:rsid w:val="009C0079"/>
    <w:rsid w:val="009C59AF"/>
    <w:rsid w:val="00A3688D"/>
    <w:rsid w:val="00A51273"/>
    <w:rsid w:val="00AA02C0"/>
    <w:rsid w:val="00AE6A12"/>
    <w:rsid w:val="00AE6E20"/>
    <w:rsid w:val="00B031F6"/>
    <w:rsid w:val="00B50D74"/>
    <w:rsid w:val="00B5615E"/>
    <w:rsid w:val="00B62CFD"/>
    <w:rsid w:val="00B747F9"/>
    <w:rsid w:val="00B81F76"/>
    <w:rsid w:val="00B83E31"/>
    <w:rsid w:val="00B905F5"/>
    <w:rsid w:val="00BC0B81"/>
    <w:rsid w:val="00BD3D78"/>
    <w:rsid w:val="00BF21AB"/>
    <w:rsid w:val="00C10586"/>
    <w:rsid w:val="00C408D7"/>
    <w:rsid w:val="00CA6DEC"/>
    <w:rsid w:val="00CB7C39"/>
    <w:rsid w:val="00CD0DBB"/>
    <w:rsid w:val="00CD74E4"/>
    <w:rsid w:val="00CE7978"/>
    <w:rsid w:val="00D05B7A"/>
    <w:rsid w:val="00D11EB8"/>
    <w:rsid w:val="00D204CE"/>
    <w:rsid w:val="00D237BE"/>
    <w:rsid w:val="00D3498D"/>
    <w:rsid w:val="00D54C1D"/>
    <w:rsid w:val="00D76572"/>
    <w:rsid w:val="00D90F27"/>
    <w:rsid w:val="00DC17FB"/>
    <w:rsid w:val="00E051C2"/>
    <w:rsid w:val="00E40E52"/>
    <w:rsid w:val="00E43BED"/>
    <w:rsid w:val="00EA5D71"/>
    <w:rsid w:val="00EB5D7E"/>
    <w:rsid w:val="00F34216"/>
    <w:rsid w:val="00F860C4"/>
    <w:rsid w:val="00F95429"/>
    <w:rsid w:val="00FE1A7B"/>
    <w:rsid w:val="00FF4F49"/>
    <w:rsid w:val="016665D9"/>
    <w:rsid w:val="016E43A8"/>
    <w:rsid w:val="023F1DC3"/>
    <w:rsid w:val="03D25D2F"/>
    <w:rsid w:val="04206073"/>
    <w:rsid w:val="04391CD4"/>
    <w:rsid w:val="054144F3"/>
    <w:rsid w:val="08D65574"/>
    <w:rsid w:val="08DC6758"/>
    <w:rsid w:val="09B30424"/>
    <w:rsid w:val="09D10B7C"/>
    <w:rsid w:val="09FE29B2"/>
    <w:rsid w:val="0B6E6BE7"/>
    <w:rsid w:val="0BAD4690"/>
    <w:rsid w:val="0CDB1245"/>
    <w:rsid w:val="0D0D559A"/>
    <w:rsid w:val="0DA9532B"/>
    <w:rsid w:val="0E3B62F5"/>
    <w:rsid w:val="0FD306C7"/>
    <w:rsid w:val="109C4CD3"/>
    <w:rsid w:val="11BA326E"/>
    <w:rsid w:val="122A0630"/>
    <w:rsid w:val="123C676E"/>
    <w:rsid w:val="12607B1A"/>
    <w:rsid w:val="139115F3"/>
    <w:rsid w:val="14104F23"/>
    <w:rsid w:val="145704E3"/>
    <w:rsid w:val="15695ACC"/>
    <w:rsid w:val="17A3742C"/>
    <w:rsid w:val="18E3018B"/>
    <w:rsid w:val="18F645F1"/>
    <w:rsid w:val="19FE6C9B"/>
    <w:rsid w:val="1B5A58E2"/>
    <w:rsid w:val="1BB96BB6"/>
    <w:rsid w:val="1C381D54"/>
    <w:rsid w:val="1CBB2985"/>
    <w:rsid w:val="1CE44B5D"/>
    <w:rsid w:val="1E810659"/>
    <w:rsid w:val="1E9D67E6"/>
    <w:rsid w:val="1F413615"/>
    <w:rsid w:val="1F7D03AF"/>
    <w:rsid w:val="20016923"/>
    <w:rsid w:val="20ED2976"/>
    <w:rsid w:val="211C2CA7"/>
    <w:rsid w:val="22C37703"/>
    <w:rsid w:val="233B037C"/>
    <w:rsid w:val="234B5430"/>
    <w:rsid w:val="24107A5A"/>
    <w:rsid w:val="24C47BE7"/>
    <w:rsid w:val="25740E92"/>
    <w:rsid w:val="258F7C11"/>
    <w:rsid w:val="25C451B8"/>
    <w:rsid w:val="25E036B2"/>
    <w:rsid w:val="25FA3FCC"/>
    <w:rsid w:val="26630315"/>
    <w:rsid w:val="276445A8"/>
    <w:rsid w:val="278F43E7"/>
    <w:rsid w:val="27A40BE5"/>
    <w:rsid w:val="28685BB1"/>
    <w:rsid w:val="28B27E59"/>
    <w:rsid w:val="28CF1C92"/>
    <w:rsid w:val="28E12850"/>
    <w:rsid w:val="29023E15"/>
    <w:rsid w:val="299C41FA"/>
    <w:rsid w:val="2B001B6F"/>
    <w:rsid w:val="2B4104F9"/>
    <w:rsid w:val="2CD21D51"/>
    <w:rsid w:val="2CDB2B38"/>
    <w:rsid w:val="2D40315E"/>
    <w:rsid w:val="2E3031D3"/>
    <w:rsid w:val="2EF30CD1"/>
    <w:rsid w:val="2F2443BA"/>
    <w:rsid w:val="2F266384"/>
    <w:rsid w:val="31715DFA"/>
    <w:rsid w:val="31973569"/>
    <w:rsid w:val="337502AF"/>
    <w:rsid w:val="33B87C7B"/>
    <w:rsid w:val="34973FAA"/>
    <w:rsid w:val="351A3FA6"/>
    <w:rsid w:val="35BA15D4"/>
    <w:rsid w:val="36BB0AB6"/>
    <w:rsid w:val="36EE59D9"/>
    <w:rsid w:val="396F12A3"/>
    <w:rsid w:val="3A550F99"/>
    <w:rsid w:val="3AA27206"/>
    <w:rsid w:val="3ADA5B9E"/>
    <w:rsid w:val="3AEF0CAC"/>
    <w:rsid w:val="3B7346FF"/>
    <w:rsid w:val="3BFC2946"/>
    <w:rsid w:val="3C5D0335"/>
    <w:rsid w:val="3C7A1ABD"/>
    <w:rsid w:val="3CCA034E"/>
    <w:rsid w:val="3D046E56"/>
    <w:rsid w:val="3DB42DAD"/>
    <w:rsid w:val="3E73179A"/>
    <w:rsid w:val="3E7A3FF6"/>
    <w:rsid w:val="3ED177CF"/>
    <w:rsid w:val="40562A19"/>
    <w:rsid w:val="40652F9B"/>
    <w:rsid w:val="412D1009"/>
    <w:rsid w:val="41320BB8"/>
    <w:rsid w:val="41D92442"/>
    <w:rsid w:val="425012F6"/>
    <w:rsid w:val="42BE0955"/>
    <w:rsid w:val="430F7403"/>
    <w:rsid w:val="431176B5"/>
    <w:rsid w:val="43D17831"/>
    <w:rsid w:val="44AD59CF"/>
    <w:rsid w:val="44B967C7"/>
    <w:rsid w:val="44DA7E87"/>
    <w:rsid w:val="46BC446F"/>
    <w:rsid w:val="477D28A8"/>
    <w:rsid w:val="48C02695"/>
    <w:rsid w:val="497824AD"/>
    <w:rsid w:val="499A0E7B"/>
    <w:rsid w:val="4A7F4E6E"/>
    <w:rsid w:val="4AD528FD"/>
    <w:rsid w:val="4BA12BC2"/>
    <w:rsid w:val="4BDA4326"/>
    <w:rsid w:val="4C4C6EB1"/>
    <w:rsid w:val="4EB53C5E"/>
    <w:rsid w:val="4EC53C6D"/>
    <w:rsid w:val="4ED738BD"/>
    <w:rsid w:val="4F15123F"/>
    <w:rsid w:val="4F161B19"/>
    <w:rsid w:val="4F542160"/>
    <w:rsid w:val="4FF0236A"/>
    <w:rsid w:val="4FF27E90"/>
    <w:rsid w:val="5007756E"/>
    <w:rsid w:val="508D10F5"/>
    <w:rsid w:val="510936E3"/>
    <w:rsid w:val="51C94C21"/>
    <w:rsid w:val="52D675F5"/>
    <w:rsid w:val="53617DAE"/>
    <w:rsid w:val="54D73CD6"/>
    <w:rsid w:val="5548423C"/>
    <w:rsid w:val="560C1580"/>
    <w:rsid w:val="56C75D58"/>
    <w:rsid w:val="56DF4791"/>
    <w:rsid w:val="58360B36"/>
    <w:rsid w:val="58E30CBE"/>
    <w:rsid w:val="5992205D"/>
    <w:rsid w:val="59F31039"/>
    <w:rsid w:val="5B0D52E6"/>
    <w:rsid w:val="5C7D0A6B"/>
    <w:rsid w:val="5D55380D"/>
    <w:rsid w:val="5E0978E9"/>
    <w:rsid w:val="5EFD58DE"/>
    <w:rsid w:val="5F66043D"/>
    <w:rsid w:val="60616D64"/>
    <w:rsid w:val="61971F4E"/>
    <w:rsid w:val="646C2699"/>
    <w:rsid w:val="64790728"/>
    <w:rsid w:val="654B3E0C"/>
    <w:rsid w:val="67727B56"/>
    <w:rsid w:val="678F3DBF"/>
    <w:rsid w:val="68540990"/>
    <w:rsid w:val="68F46E51"/>
    <w:rsid w:val="69902FDF"/>
    <w:rsid w:val="6A265B6E"/>
    <w:rsid w:val="6AAB24C9"/>
    <w:rsid w:val="6AD83CC8"/>
    <w:rsid w:val="6AE3108D"/>
    <w:rsid w:val="6B713F07"/>
    <w:rsid w:val="6C4D5BC7"/>
    <w:rsid w:val="6D5D7834"/>
    <w:rsid w:val="6D9F53C4"/>
    <w:rsid w:val="6EF07839"/>
    <w:rsid w:val="6F0309DE"/>
    <w:rsid w:val="6F045092"/>
    <w:rsid w:val="6F3757AB"/>
    <w:rsid w:val="6F6124E5"/>
    <w:rsid w:val="6FB266E5"/>
    <w:rsid w:val="6FEC7857"/>
    <w:rsid w:val="70AD6B66"/>
    <w:rsid w:val="70FD515F"/>
    <w:rsid w:val="71BC3A02"/>
    <w:rsid w:val="72161365"/>
    <w:rsid w:val="735F255F"/>
    <w:rsid w:val="739764D5"/>
    <w:rsid w:val="75CB690A"/>
    <w:rsid w:val="75E11C8A"/>
    <w:rsid w:val="75ED5ACE"/>
    <w:rsid w:val="772321C6"/>
    <w:rsid w:val="77534E09"/>
    <w:rsid w:val="77884AB3"/>
    <w:rsid w:val="784E7477"/>
    <w:rsid w:val="78B74F24"/>
    <w:rsid w:val="791A178B"/>
    <w:rsid w:val="79865F00"/>
    <w:rsid w:val="79D47BCB"/>
    <w:rsid w:val="7B55615E"/>
    <w:rsid w:val="7B6E1C39"/>
    <w:rsid w:val="7B783090"/>
    <w:rsid w:val="7C71631E"/>
    <w:rsid w:val="7CA56035"/>
    <w:rsid w:val="7E90249F"/>
    <w:rsid w:val="7F41409C"/>
    <w:rsid w:val="7FBF12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5"/>
    <w:next w:val="1"/>
    <w:unhideWhenUsed/>
    <w:qFormat/>
    <w:uiPriority w:val="0"/>
    <w:pPr>
      <w:keepNext/>
      <w:keepLines/>
      <w:widowControl w:val="0"/>
      <w:spacing w:line="372" w:lineRule="auto"/>
      <w:jc w:val="both"/>
      <w:outlineLvl w:val="4"/>
    </w:pPr>
    <w:rPr>
      <w:rFonts w:ascii="Calibri" w:hAnsi="Calibri" w:eastAsia="仿宋_GB2312" w:cs="Times New Roman"/>
      <w:b/>
      <w:kern w:val="2"/>
      <w:sz w:val="28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qFormat/>
    <w:uiPriority w:val="0"/>
    <w:pPr>
      <w:widowControl w:val="0"/>
      <w:spacing w:line="318" w:lineRule="atLeast"/>
      <w:ind w:left="369" w:firstLine="369"/>
      <w:jc w:val="both"/>
    </w:pPr>
    <w:rPr>
      <w:rFonts w:ascii="宋体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Plain Text"/>
    <w:qFormat/>
    <w:uiPriority w:val="0"/>
    <w:pPr>
      <w:widowControl w:val="0"/>
      <w:jc w:val="both"/>
    </w:pPr>
    <w:rPr>
      <w:rFonts w:ascii="宋体" w:hAnsi="Courier New" w:eastAsia="仿宋_GB2312" w:cs="Times New Roman"/>
      <w:kern w:val="2"/>
      <w:sz w:val="32"/>
      <w:lang w:val="en-US" w:eastAsia="zh-CN" w:bidi="ar-SA"/>
    </w:r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next w:val="7"/>
    <w:link w:val="16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仿宋_GB2312" w:cs="Times New Roman"/>
      <w:kern w:val="2"/>
      <w:sz w:val="18"/>
      <w:szCs w:val="18"/>
      <w:lang w:val="en-US" w:eastAsia="zh-CN" w:bidi="ar-SA"/>
    </w:rPr>
  </w:style>
  <w:style w:type="paragraph" w:customStyle="1" w:styleId="7">
    <w:name w:val="TOC Heading1"/>
    <w:next w:val="1"/>
    <w:qFormat/>
    <w:uiPriority w:val="0"/>
    <w:pPr>
      <w:wordWrap w:val="0"/>
    </w:pPr>
    <w:rPr>
      <w:rFonts w:ascii="Times New Roman" w:hAnsi="Times New Roman" w:eastAsia="宋体" w:cs="Times New Roman"/>
      <w:sz w:val="32"/>
      <w:lang w:val="en-US" w:eastAsia="zh-CN" w:bidi="ar-SA"/>
    </w:rPr>
  </w:style>
  <w:style w:type="paragraph" w:styleId="8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1"/>
    <w:link w:val="8"/>
    <w:qFormat/>
    <w:uiPriority w:val="0"/>
    <w:rPr>
      <w:rFonts w:eastAsia="仿宋_GB2312"/>
      <w:kern w:val="2"/>
      <w:sz w:val="18"/>
      <w:szCs w:val="18"/>
    </w:rPr>
  </w:style>
  <w:style w:type="paragraph" w:customStyle="1" w:styleId="14">
    <w:name w:val="段"/>
    <w:link w:val="15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5">
    <w:name w:val="段 Char"/>
    <w:basedOn w:val="11"/>
    <w:link w:val="14"/>
    <w:qFormat/>
    <w:locked/>
    <w:uiPriority w:val="0"/>
    <w:rPr>
      <w:rFonts w:ascii="宋体" w:hAnsi="Times New Roman"/>
      <w:sz w:val="21"/>
    </w:rPr>
  </w:style>
  <w:style w:type="character" w:customStyle="1" w:styleId="16">
    <w:name w:val="页脚 Char"/>
    <w:basedOn w:val="11"/>
    <w:link w:val="6"/>
    <w:qFormat/>
    <w:uiPriority w:val="99"/>
    <w:rPr>
      <w:rFonts w:eastAsia="仿宋_GB2312"/>
      <w:kern w:val="2"/>
      <w:sz w:val="18"/>
      <w:szCs w:val="18"/>
    </w:rPr>
  </w:style>
  <w:style w:type="character" w:customStyle="1" w:styleId="17">
    <w:name w:val="批注框文本 Char"/>
    <w:basedOn w:val="11"/>
    <w:link w:val="5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3427</Words>
  <Characters>3603</Characters>
  <Lines>24</Lines>
  <Paragraphs>6</Paragraphs>
  <TotalTime>8</TotalTime>
  <ScaleCrop>false</ScaleCrop>
  <LinksUpToDate>false</LinksUpToDate>
  <CharactersWithSpaces>3610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2021-11-16T08:10:00Z</dcterms:created>
  <dc:creator>乱反射</dc:creator>
  <cp:lastModifiedBy>天天天天蓝123</cp:lastModifiedBy>
  <cp:lastPrinted>2024-12-17T05:17:00Z</cp:lastPrinted>
  <dcterms:modified xsi:type="dcterms:W3CDTF">2024-12-31T05:22:45Z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AB849EBA0C4B4099990541454C75C335</vt:lpwstr>
  </property>
  <property fmtid="{D5CDD505-2E9C-101B-9397-08002B2CF9AE}" pid="4" name="KSOTemplateDocerSaveRecord">
    <vt:lpwstr>eyJoZGlkIjoiYmU3ZjkyMjEzMzI0YTY4OTNiZmY5ZWRjNGUzMmZhZGQiLCJ1c2VySWQiOiIxNDE1NDI2NDI4In0=</vt:lpwstr>
  </property>
</Properties>
</file>