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eastAsia="方正小标宋_GBK"/>
          <w:caps w:val="0"/>
          <w:smallCaps/>
          <w:sz w:val="44"/>
          <w:szCs w:val="44"/>
        </w:rPr>
      </w:pPr>
      <w:r>
        <w:rPr>
          <w:rFonts w:hint="eastAsia" w:eastAsia="方正小标宋_GBK"/>
          <w:caps w:val="0"/>
          <w:smallCaps/>
          <w:sz w:val="44"/>
          <w:szCs w:val="44"/>
        </w:rPr>
        <w:t>关于《市政府办公室关于健全重特大疾病医疗保险和救助制度的实施意见》的解读</w:t>
      </w:r>
    </w:p>
    <w:p>
      <w:pPr>
        <w:spacing w:line="560" w:lineRule="exact"/>
        <w:jc w:val="center"/>
        <w:rPr>
          <w:rFonts w:hint="eastAsia" w:eastAsia="方正小标宋_GBK"/>
          <w:caps w:val="0"/>
          <w:smallCaps/>
          <w:sz w:val="44"/>
          <w:szCs w:val="44"/>
        </w:rPr>
      </w:pPr>
    </w:p>
    <w:p>
      <w:pPr>
        <w:spacing w:line="560" w:lineRule="exact"/>
        <w:ind w:firstLine="632" w:firstLineChars="200"/>
        <w:outlineLvl w:val="0"/>
        <w:rPr>
          <w:rFonts w:hint="eastAsia" w:eastAsia="方正黑体_GBK"/>
          <w:caps w:val="0"/>
          <w:smallCaps/>
          <w:szCs w:val="32"/>
        </w:rPr>
      </w:pPr>
      <w:bookmarkStart w:id="0" w:name="_GoBack"/>
      <w:bookmarkEnd w:id="0"/>
      <w:r>
        <w:rPr>
          <w:rFonts w:hint="eastAsia" w:eastAsia="方正黑体_GBK"/>
          <w:caps w:val="0"/>
          <w:smallCaps/>
          <w:szCs w:val="32"/>
        </w:rPr>
        <w:t>一、《实施意见》是在怎样的背景下出台的？</w:t>
      </w:r>
    </w:p>
    <w:p>
      <w:pPr>
        <w:spacing w:line="560" w:lineRule="exact"/>
        <w:ind w:firstLine="632" w:firstLineChars="200"/>
        <w:rPr>
          <w:rFonts w:hint="eastAsia" w:eastAsia="方正仿宋_GBK"/>
          <w:kern w:val="0"/>
          <w:szCs w:val="32"/>
        </w:rPr>
      </w:pPr>
      <w:r>
        <w:rPr>
          <w:rFonts w:hint="eastAsia" w:eastAsia="方正仿宋_GBK"/>
          <w:kern w:val="0"/>
          <w:szCs w:val="32"/>
        </w:rPr>
        <w:t>2021年10月，国务院办公厅印发《关于健全重特大疾病医疗保险和救助制度的意见》（国办发〔2021〕42号），主要是聚焦减轻困难群众重特大疾病医疗费用负担，建立健全防范和化解因病致贫返贫长效机制，强化基本医保、大病保险、医疗救助（以下统称三重制度）综合保障，确保困难群众基本医疗有保障，不因罹患重特大疾病影响基本生活。</w:t>
      </w:r>
      <w:r>
        <w:rPr>
          <w:rFonts w:hint="eastAsia" w:eastAsia="方正仿宋_GBK"/>
          <w:kern w:val="0"/>
          <w:szCs w:val="32"/>
          <w:lang w:val="en-US" w:eastAsia="zh-CN"/>
        </w:rPr>
        <w:t>2022年7月</w:t>
      </w:r>
      <w:r>
        <w:rPr>
          <w:rFonts w:hint="eastAsia" w:eastAsia="方正仿宋_GBK"/>
          <w:kern w:val="0"/>
          <w:szCs w:val="32"/>
        </w:rPr>
        <w:t>，省政府办公厅制发《关于健全重特大疾病医疗保险和救助制度的实施意见》，明确了我省医疗救助对象、医疗费用保障范围、基本救助水平等具体政策措施，进一步增强我省医疗保障制度的托底性保障功能。</w:t>
      </w:r>
    </w:p>
    <w:p>
      <w:pPr>
        <w:numPr>
          <w:ilvl w:val="0"/>
          <w:numId w:val="0"/>
        </w:numPr>
        <w:spacing w:line="560" w:lineRule="exact"/>
        <w:ind w:firstLine="632" w:firstLineChars="200"/>
        <w:outlineLvl w:val="0"/>
        <w:rPr>
          <w:rFonts w:hint="eastAsia" w:eastAsia="方正黑体_GBK"/>
          <w:caps w:val="0"/>
          <w:smallCaps/>
          <w:szCs w:val="32"/>
          <w:lang w:eastAsia="zh-CN"/>
        </w:rPr>
      </w:pPr>
      <w:r>
        <w:rPr>
          <w:rFonts w:hint="eastAsia" w:eastAsia="方正黑体_GBK"/>
          <w:caps w:val="0"/>
          <w:smallCaps/>
          <w:szCs w:val="32"/>
          <w:lang w:eastAsia="zh-CN"/>
        </w:rPr>
        <w:t>二、哪些困难群众符合医疗救助条件？</w:t>
      </w:r>
    </w:p>
    <w:p>
      <w:pPr>
        <w:numPr>
          <w:ilvl w:val="0"/>
          <w:numId w:val="0"/>
        </w:numPr>
        <w:spacing w:line="560" w:lineRule="exact"/>
        <w:outlineLvl w:val="0"/>
        <w:rPr>
          <w:rFonts w:hint="eastAsia" w:eastAsia="方正仿宋_GBK"/>
          <w:kern w:val="0"/>
          <w:szCs w:val="32"/>
          <w:lang w:val="en-US" w:eastAsia="zh-CN"/>
        </w:rPr>
      </w:pPr>
      <w:r>
        <w:rPr>
          <w:rFonts w:hint="eastAsia" w:eastAsia="方正黑体_GBK"/>
          <w:caps w:val="0"/>
          <w:smallCaps/>
          <w:szCs w:val="32"/>
          <w:lang w:val="en-US" w:eastAsia="zh-CN"/>
        </w:rPr>
        <w:t xml:space="preserve">     </w:t>
      </w:r>
      <w:r>
        <w:rPr>
          <w:rFonts w:hint="eastAsia" w:eastAsia="方正仿宋_GBK"/>
          <w:kern w:val="0"/>
          <w:szCs w:val="32"/>
          <w:lang w:val="en-US" w:eastAsia="zh-CN"/>
        </w:rPr>
        <w:t>医疗救助公平覆盖医疗费用负担较重的困难职工和城乡居民，根据救助对象类别实施分类救助。医疗救助对象是指具有本市户籍，同时参加本市基本医疗保险，并经市民政局、退役军人事务局、总工会和残联等部门认定的下列人员：特困人员，最低生活保障对象，困境儿童，符合条件的享受国家抚恤补助的优抚对象（在乡重点优抚对象及部分烈士子女），享受民政部门定期定量生活补助费的20世纪60年代精减退职职工，设区市、县（市、区）总工会核定的特困职工，低保边缘家庭成员，支出型困难家庭中的大重病患者，具有本地户籍的临时救助对象中的大重病患者，持有县级以上残联核发的《中华人民共和国残疾人证》，登记为一级、二级的肢体残疾、智力残疾、精神残疾和视力残疾且无业的重度残疾人员（含多重残疾，以下简称“符合条件的重度残疾人”），以及设区市人民政府规定的其他特殊困难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outlineLvl w:val="0"/>
        <w:rPr>
          <w:rFonts w:hint="eastAsia" w:eastAsia="方正黑体_GBK"/>
          <w:caps w:val="0"/>
          <w:smallCaps/>
          <w:szCs w:val="32"/>
          <w:lang w:val="en-US" w:eastAsia="zh-CN"/>
        </w:rPr>
      </w:pPr>
      <w:r>
        <w:rPr>
          <w:rFonts w:hint="eastAsia" w:eastAsia="方正黑体_GBK"/>
          <w:caps w:val="0"/>
          <w:smallCaps/>
          <w:szCs w:val="32"/>
          <w:lang w:val="en-US" w:eastAsia="zh-CN"/>
        </w:rPr>
        <w:t>三、强化三重制度综合保障具体是什么？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outlineLvl w:val="0"/>
        <w:rPr>
          <w:rFonts w:hint="eastAsia" w:eastAsia="方正仿宋_GBK"/>
          <w:kern w:val="0"/>
          <w:szCs w:val="32"/>
          <w:lang w:val="en-US" w:eastAsia="zh-CN"/>
        </w:rPr>
      </w:pPr>
      <w:r>
        <w:rPr>
          <w:rFonts w:hint="eastAsia" w:eastAsia="方正仿宋_GBK"/>
          <w:kern w:val="0"/>
          <w:szCs w:val="32"/>
          <w:lang w:val="en-US" w:eastAsia="zh-CN"/>
        </w:rPr>
        <w:t>对医疗救助对象实施三重制度综合保障，充分发挥其梯次减负功能。即：发挥基本医保主体保障功能，严格执行基本医保支付范围和标准，实施公平适度保障；增强大病保险减负功能，完善大病保险对救助对象的倾斜支付政策；夯实医疗救助托底保障功能，按照“先保险后救助”的原则，对基本医保、大病保险等支付后个人医疗费用负担仍然较重的救助对象按规定实施救助，合力防范因病致贫返贫风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outlineLvl w:val="0"/>
        <w:rPr>
          <w:rFonts w:hint="default" w:eastAsia="方正黑体_GBK"/>
          <w:caps w:val="0"/>
          <w:smallCaps/>
          <w:szCs w:val="32"/>
          <w:lang w:val="en-US" w:eastAsia="zh-CN"/>
        </w:rPr>
      </w:pPr>
      <w:r>
        <w:rPr>
          <w:rFonts w:hint="eastAsia" w:eastAsia="方正黑体_GBK"/>
          <w:caps w:val="0"/>
          <w:smallCaps/>
          <w:szCs w:val="32"/>
          <w:lang w:val="en-US" w:eastAsia="zh-CN"/>
        </w:rPr>
        <w:t>四</w:t>
      </w:r>
      <w:r>
        <w:rPr>
          <w:rFonts w:hint="default" w:eastAsia="方正黑体_GBK"/>
          <w:caps w:val="0"/>
          <w:smallCaps/>
          <w:szCs w:val="32"/>
          <w:lang w:val="en-US" w:eastAsia="zh-CN"/>
        </w:rPr>
        <w:t>、如何提升医疗救助制度的规范性和公平性？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outlineLvl w:val="0"/>
        <w:rPr>
          <w:rFonts w:hint="default" w:eastAsia="方正仿宋_GBK"/>
          <w:kern w:val="0"/>
          <w:szCs w:val="32"/>
          <w:lang w:val="en-US" w:eastAsia="zh-CN"/>
        </w:rPr>
      </w:pPr>
      <w:r>
        <w:rPr>
          <w:rFonts w:hint="default" w:eastAsia="方正仿宋_GBK"/>
          <w:kern w:val="0"/>
          <w:szCs w:val="32"/>
          <w:lang w:val="en-US" w:eastAsia="zh-CN"/>
        </w:rPr>
        <w:t>推进医疗救助与基本医保统筹层次相衔接，全面实现医疗救助在全市范围内统一救助范围、统一救助标准、统一经办管理、统一定点管理、统一信息系统建设，切实增强政策制度的公平性，最大限度地惠及救助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outlineLvl w:val="0"/>
        <w:rPr>
          <w:rFonts w:hint="default" w:eastAsia="方正黑体_GBK"/>
          <w:caps w:val="0"/>
          <w:smallCaps/>
          <w:szCs w:val="32"/>
          <w:lang w:val="en-US" w:eastAsia="zh-CN"/>
        </w:rPr>
      </w:pPr>
      <w:r>
        <w:rPr>
          <w:rFonts w:hint="eastAsia" w:eastAsia="方正黑体_GBK"/>
          <w:caps w:val="0"/>
          <w:smallCaps/>
          <w:szCs w:val="32"/>
          <w:lang w:val="en-US" w:eastAsia="zh-CN"/>
        </w:rPr>
        <w:t>五</w:t>
      </w:r>
      <w:r>
        <w:rPr>
          <w:rFonts w:hint="default" w:eastAsia="方正黑体_GBK"/>
          <w:caps w:val="0"/>
          <w:smallCaps/>
          <w:szCs w:val="32"/>
          <w:lang w:val="en-US" w:eastAsia="zh-CN"/>
        </w:rPr>
        <w:t>、哪些医疗费用可纳入救助范围？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outlineLvl w:val="0"/>
        <w:rPr>
          <w:rFonts w:hint="default" w:eastAsia="方正仿宋_GBK"/>
          <w:kern w:val="0"/>
          <w:szCs w:val="32"/>
          <w:lang w:val="en-US" w:eastAsia="zh-CN"/>
        </w:rPr>
      </w:pPr>
      <w:r>
        <w:rPr>
          <w:rFonts w:hint="default" w:eastAsia="方正仿宋_GBK"/>
          <w:kern w:val="0"/>
          <w:szCs w:val="32"/>
          <w:lang w:val="en-US" w:eastAsia="zh-CN"/>
        </w:rPr>
        <w:t>救助费用主要覆盖救助对象在定点医药机构发生的政策范围内门诊、住院费用。由医疗救助基金支付的药品、医用耗材、诊疗项目应符合国家和省有关基本医保支付范围的规定。基本医保、大病保险起付线以下的政策范围内个人自付费用，按规定纳入救助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outlineLvl w:val="0"/>
        <w:rPr>
          <w:rFonts w:hint="default" w:eastAsia="方正黑体_GBK"/>
          <w:caps w:val="0"/>
          <w:smallCaps/>
          <w:szCs w:val="32"/>
          <w:lang w:val="en-US" w:eastAsia="zh-CN"/>
        </w:rPr>
      </w:pPr>
      <w:r>
        <w:rPr>
          <w:rFonts w:hint="eastAsia" w:eastAsia="方正黑体_GBK"/>
          <w:caps w:val="0"/>
          <w:smallCaps/>
          <w:szCs w:val="32"/>
          <w:lang w:val="en-US" w:eastAsia="zh-CN"/>
        </w:rPr>
        <w:t>六</w:t>
      </w:r>
      <w:r>
        <w:rPr>
          <w:rFonts w:hint="default" w:eastAsia="方正黑体_GBK"/>
          <w:caps w:val="0"/>
          <w:smallCaps/>
          <w:szCs w:val="32"/>
          <w:lang w:val="en-US" w:eastAsia="zh-CN"/>
        </w:rPr>
        <w:t>、《实施意见》明确了哪些兜底保障措施？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outlineLvl w:val="0"/>
        <w:rPr>
          <w:rFonts w:hint="default" w:eastAsia="方正仿宋_GBK"/>
          <w:kern w:val="0"/>
          <w:szCs w:val="32"/>
          <w:lang w:val="en-US" w:eastAsia="zh-CN"/>
        </w:rPr>
      </w:pPr>
      <w:r>
        <w:rPr>
          <w:rFonts w:hint="default" w:eastAsia="方正仿宋_GBK"/>
          <w:kern w:val="0"/>
          <w:szCs w:val="32"/>
          <w:lang w:val="en-US" w:eastAsia="zh-CN"/>
        </w:rPr>
        <w:t>一是确保困难群众应保尽保。全面落实城乡居民基本医保参保财政补助政策，对个人缴费确有困难的群众给予分类资助：对特困人员、最低生活保障对象、困境儿童、符合条件的享受国家抚恤补助的优抚对象（在乡重点优抚对象及部分烈士子女）、享受民政部门定期定量生活补助费的20世纪60年代精减退职职工给予全额资助参保；对低保边缘家庭成员、支出型困难家庭中的大重病患者、具有本地户籍的临时救助对象中的大重病患者、符合条件的重度残疾人，以及设区市人民政府规定的其他特殊困难人员按照统筹地区个人缴费标准的100%给予定额资助参保。对未参保的新增救助对象，及时资助参保，免除待遇等待期。积极适应人口流动和参保需求变化，强化部门间工作衔接，确保救助对象及时参保、应保尽保，避免重复参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outlineLvl w:val="0"/>
        <w:rPr>
          <w:rFonts w:hint="default" w:eastAsia="方正仿宋_GBK"/>
          <w:kern w:val="0"/>
          <w:szCs w:val="32"/>
          <w:lang w:val="en-US" w:eastAsia="zh-CN"/>
        </w:rPr>
      </w:pPr>
      <w:r>
        <w:rPr>
          <w:rFonts w:hint="default" w:eastAsia="方正仿宋_GBK"/>
          <w:kern w:val="0"/>
          <w:szCs w:val="32"/>
          <w:lang w:val="en-US" w:eastAsia="zh-CN"/>
        </w:rPr>
        <w:t>二是合理确定基本救助水平。分类设定年度救助比例，对全额资助参保对象及设区市、县（市、区）总工会核定的特困职工不设起付标准，按85%的比例救助，其中特困人员、困境儿童中的孤儿和事实无人抚养儿童给予100%救助；定额资助参保对象不设起付标准，按70%的比例救助。普通门诊救助限额1万元；门诊慢性病、特殊疾病和住院共用救助限额，年度救助限额（以下简称救助限额）为30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outlineLvl w:val="0"/>
        <w:rPr>
          <w:rFonts w:hint="default" w:eastAsia="方正仿宋_GBK"/>
          <w:kern w:val="0"/>
          <w:szCs w:val="32"/>
          <w:lang w:val="en-US" w:eastAsia="zh-CN"/>
        </w:rPr>
      </w:pPr>
      <w:r>
        <w:rPr>
          <w:rFonts w:hint="default" w:eastAsia="方正仿宋_GBK"/>
          <w:kern w:val="0"/>
          <w:szCs w:val="32"/>
          <w:lang w:val="en-US" w:eastAsia="zh-CN"/>
        </w:rPr>
        <w:t>三是统筹完善托底保障措施。对规范转诊且在省域内就医的救助对象，经三重制度综合保障后政策范围内个人负担仍然较重的，年度个人负担6000元以上部分给予倾斜救助，救助比例为60%。加强定点医疗机构管理，控制基本医保目录外医药费用，经基本医保、大病保险、医疗救助等结报后，救助对象在县域内定点医疗机构住院个人自付费用控制在政策范围内住院总费用10%以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outlineLvl w:val="0"/>
        <w:rPr>
          <w:rFonts w:hint="default" w:eastAsia="方正黑体_GBK"/>
          <w:caps w:val="0"/>
          <w:smallCaps/>
          <w:szCs w:val="32"/>
          <w:lang w:val="en-US" w:eastAsia="zh-CN"/>
        </w:rPr>
      </w:pPr>
      <w:r>
        <w:rPr>
          <w:rFonts w:hint="eastAsia" w:eastAsia="方正黑体_GBK"/>
          <w:caps w:val="0"/>
          <w:smallCaps/>
          <w:szCs w:val="32"/>
          <w:lang w:val="en-US" w:eastAsia="zh-CN"/>
        </w:rPr>
        <w:t>七</w:t>
      </w:r>
      <w:r>
        <w:rPr>
          <w:rFonts w:hint="default" w:eastAsia="方正黑体_GBK"/>
          <w:caps w:val="0"/>
          <w:smallCaps/>
          <w:szCs w:val="32"/>
          <w:lang w:val="en-US" w:eastAsia="zh-CN"/>
        </w:rPr>
        <w:t>、如何引导社会力量参与救助保障？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outlineLvl w:val="0"/>
        <w:rPr>
          <w:rFonts w:hint="default" w:eastAsia="方正仿宋_GBK"/>
          <w:kern w:val="0"/>
          <w:szCs w:val="32"/>
          <w:lang w:val="en-US" w:eastAsia="zh-CN"/>
        </w:rPr>
      </w:pPr>
      <w:r>
        <w:rPr>
          <w:rFonts w:hint="default" w:eastAsia="方正仿宋_GBK"/>
          <w:kern w:val="0"/>
          <w:szCs w:val="32"/>
          <w:lang w:val="en-US" w:eastAsia="zh-CN"/>
        </w:rPr>
        <w:t>一是发展壮大慈善救助。鼓励慈善组织和其他社会组织设立大病救助项目，发挥补充救助作用。支持医疗救助领域社会工作服务和志愿服务发展，丰富救助服务内容。根据经济社会发展水平和各方承受能力，整合医疗保障、社会救助、慈善帮扶等资源，实施综合保障。建立慈善参与激励机制，落实相应税收优惠、费用减免等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outlineLvl w:val="0"/>
        <w:rPr>
          <w:rFonts w:hint="default" w:eastAsia="方正仿宋_GBK"/>
          <w:kern w:val="0"/>
          <w:szCs w:val="32"/>
          <w:lang w:val="en-US" w:eastAsia="zh-CN"/>
        </w:rPr>
      </w:pPr>
      <w:r>
        <w:rPr>
          <w:rFonts w:hint="default" w:eastAsia="方正仿宋_GBK"/>
          <w:kern w:val="0"/>
          <w:szCs w:val="32"/>
          <w:lang w:val="en-US" w:eastAsia="zh-CN"/>
        </w:rPr>
        <w:t>二是鼓励商业补充医疗保险和医疗互助发展。支持商业补充医疗保险发展，满足基本医疗保障以外的保障需求。鼓励商业保险机构加强产品创新，在产品定价、赔付条件、保障范围等方面对困难群众适当倾斜。支持开展职工医疗互助，推行乡村公益医疗互助，加强风险管控，引导医疗互助健康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outlineLvl w:val="0"/>
        <w:rPr>
          <w:rFonts w:hint="default" w:eastAsia="方正黑体_GBK"/>
          <w:caps w:val="0"/>
          <w:smallCaps/>
          <w:szCs w:val="32"/>
          <w:lang w:val="en-US" w:eastAsia="zh-CN"/>
        </w:rPr>
      </w:pPr>
      <w:r>
        <w:rPr>
          <w:rFonts w:hint="eastAsia" w:eastAsia="方正黑体_GBK"/>
          <w:caps w:val="0"/>
          <w:smallCaps/>
          <w:szCs w:val="32"/>
          <w:lang w:val="en-US" w:eastAsia="zh-CN"/>
        </w:rPr>
        <w:t>八</w:t>
      </w:r>
      <w:r>
        <w:rPr>
          <w:rFonts w:hint="default" w:eastAsia="方正黑体_GBK"/>
          <w:caps w:val="0"/>
          <w:smallCaps/>
          <w:szCs w:val="32"/>
          <w:lang w:val="en-US" w:eastAsia="zh-CN"/>
        </w:rPr>
        <w:t>、救助对象</w:t>
      </w:r>
      <w:r>
        <w:rPr>
          <w:rFonts w:hint="eastAsia" w:eastAsia="方正黑体_GBK"/>
          <w:caps w:val="0"/>
          <w:smallCaps/>
          <w:szCs w:val="32"/>
          <w:lang w:val="en-US" w:eastAsia="zh-CN"/>
        </w:rPr>
        <w:t>如何享受</w:t>
      </w:r>
      <w:r>
        <w:rPr>
          <w:rFonts w:hint="default" w:eastAsia="方正黑体_GBK"/>
          <w:caps w:val="0"/>
          <w:smallCaps/>
          <w:szCs w:val="32"/>
          <w:lang w:val="en-US" w:eastAsia="zh-CN"/>
        </w:rPr>
        <w:t>医疗救助</w:t>
      </w:r>
      <w:r>
        <w:rPr>
          <w:rFonts w:hint="eastAsia" w:eastAsia="方正黑体_GBK"/>
          <w:caps w:val="0"/>
          <w:smallCaps/>
          <w:szCs w:val="32"/>
          <w:lang w:val="en-US" w:eastAsia="zh-CN"/>
        </w:rPr>
        <w:t>待遇</w:t>
      </w:r>
      <w:r>
        <w:rPr>
          <w:rFonts w:hint="default" w:eastAsia="方正黑体_GBK"/>
          <w:caps w:val="0"/>
          <w:smallCaps/>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outlineLvl w:val="0"/>
        <w:rPr>
          <w:rFonts w:hint="default" w:eastAsia="方正仿宋_GBK"/>
          <w:kern w:val="0"/>
          <w:szCs w:val="32"/>
          <w:lang w:val="en-US" w:eastAsia="zh-CN"/>
        </w:rPr>
      </w:pPr>
      <w:r>
        <w:rPr>
          <w:rFonts w:hint="default" w:eastAsia="方正仿宋_GBK"/>
          <w:kern w:val="0"/>
          <w:szCs w:val="32"/>
          <w:lang w:val="en-US" w:eastAsia="zh-CN"/>
        </w:rPr>
        <w:t>简化申请、审核、救助金给付流程，医疗救助对象经认定部门审核、认定后，由认定部门共享信息至医保部门，无需个人申请即可享受在定点医药机构“一站式”刷卡结算服务，既免除了资金垫付压力，也解除了事后跑腿报销的困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outlineLvl w:val="0"/>
        <w:rPr>
          <w:rFonts w:hint="default" w:eastAsia="方正仿宋_GBK"/>
          <w:kern w:val="0"/>
          <w:szCs w:val="32"/>
          <w:lang w:val="en-US" w:eastAsia="zh-CN"/>
        </w:rPr>
      </w:pPr>
    </w:p>
    <w:sectPr>
      <w:headerReference r:id="rId3" w:type="default"/>
      <w:footerReference r:id="rId5" w:type="default"/>
      <w:headerReference r:id="rId4" w:type="even"/>
      <w:footerReference r:id="rId6" w:type="even"/>
      <w:pgSz w:w="11906" w:h="16838"/>
      <w:pgMar w:top="2098" w:right="1474" w:bottom="1984" w:left="1588" w:header="851" w:footer="1701" w:gutter="0"/>
      <w:cols w:space="720" w:num="1"/>
      <w:rtlGutter w:val="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Luxi Sans">
    <w:altName w:val="华文仿宋"/>
    <w:panose1 w:val="00000000000000000000"/>
    <w:charset w:val="00"/>
    <w:family w:val="auto"/>
    <w:pitch w:val="default"/>
    <w:sig w:usb0="00000000" w:usb1="00000000" w:usb2="00000000" w:usb3="00000000" w:csb0="0000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sz w:val="28"/>
        <w:szCs w:val="28"/>
      </w:rPr>
    </w:pPr>
    <w:r>
      <w:rPr>
        <w:sz w:val="28"/>
        <w:szCs w:val="28"/>
      </w:rPr>
      <w:t xml:space="preserve">— </w:t>
    </w:r>
    <w:sdt>
      <w:sdtPr>
        <w:rPr>
          <w:sz w:val="28"/>
          <w:szCs w:val="28"/>
        </w:rPr>
        <w:id w:val="-639779568"/>
        <w:docPartList>
          <w:docPartGallery w:val="autotext"/>
        </w:docPartList>
      </w:sdtPr>
      <w:sdtEndPr>
        <w:rPr>
          <w:sz w:val="28"/>
          <w:szCs w:val="28"/>
        </w:rPr>
      </w:sdtEndPr>
      <w:sdtContent>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sz w:val="28"/>
            <w:szCs w:val="28"/>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28"/>
        <w:szCs w:val="28"/>
      </w:rPr>
    </w:pPr>
    <w:r>
      <w:rPr>
        <w:sz w:val="28"/>
        <w:szCs w:val="28"/>
      </w:rPr>
      <w:t xml:space="preserve">— </w:t>
    </w:r>
    <w:sdt>
      <w:sdtPr>
        <w:rPr>
          <w:sz w:val="28"/>
          <w:szCs w:val="28"/>
        </w:rPr>
        <w:id w:val="1253345088"/>
        <w:docPartList>
          <w:docPartGallery w:val="autotext"/>
        </w:docPartList>
      </w:sdtPr>
      <w:sdtEndPr>
        <w:rPr>
          <w:sz w:val="28"/>
          <w:szCs w:val="28"/>
        </w:rPr>
      </w:sdtEndPr>
      <w:sdtContent>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sz w:val="28"/>
            <w:szCs w:val="28"/>
          </w:rPr>
          <w:t xml:space="preserve"> —</w:t>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dit="readOnly" w:enforcement="0"/>
  <w:defaultTabStop w:val="420"/>
  <w:evenAndOddHeaders w:val="true"/>
  <w:drawingGridHorizontalSpacing w:val="158"/>
  <w:drawingGridVerticalSpacing w:val="579"/>
  <w:displayHorizontalDrawingGridEvery w:val="1"/>
  <w:displayVerticalDrawingGridEvery w:val="1"/>
  <w:noPunctuationKerning w:val="true"/>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M2YzBiYzI4NDA0Njk1ZDY2ODlkNDRjZjFjNzI5MTYifQ=="/>
  </w:docVars>
  <w:rsids>
    <w:rsidRoot w:val="00000000"/>
    <w:rsid w:val="0BBF8A80"/>
    <w:rsid w:val="16F811D9"/>
    <w:rsid w:val="17FFCC5A"/>
    <w:rsid w:val="1AD97FAC"/>
    <w:rsid w:val="1BE255BC"/>
    <w:rsid w:val="1CBFB975"/>
    <w:rsid w:val="1D969F73"/>
    <w:rsid w:val="1EF92654"/>
    <w:rsid w:val="2BDCB03C"/>
    <w:rsid w:val="2C7DF1AF"/>
    <w:rsid w:val="2D1B8807"/>
    <w:rsid w:val="2D696561"/>
    <w:rsid w:val="2FD494BD"/>
    <w:rsid w:val="355D688F"/>
    <w:rsid w:val="35FD21D0"/>
    <w:rsid w:val="363E8EE9"/>
    <w:rsid w:val="37BFF878"/>
    <w:rsid w:val="37F31CC6"/>
    <w:rsid w:val="3A3E7D38"/>
    <w:rsid w:val="3CBB6D45"/>
    <w:rsid w:val="3DDBEF95"/>
    <w:rsid w:val="3EEB2F60"/>
    <w:rsid w:val="3F7FCDF6"/>
    <w:rsid w:val="3F8BD1C7"/>
    <w:rsid w:val="3F8F8D54"/>
    <w:rsid w:val="3F8FA15F"/>
    <w:rsid w:val="3FD705E9"/>
    <w:rsid w:val="45193CF3"/>
    <w:rsid w:val="46FF7046"/>
    <w:rsid w:val="4ADB19F3"/>
    <w:rsid w:val="4AFCBD95"/>
    <w:rsid w:val="4DD77DD4"/>
    <w:rsid w:val="4FFFBFAC"/>
    <w:rsid w:val="53EDDEE8"/>
    <w:rsid w:val="59378B2A"/>
    <w:rsid w:val="5CEF59EC"/>
    <w:rsid w:val="5DDA1A8D"/>
    <w:rsid w:val="5DF5DEE4"/>
    <w:rsid w:val="5DF6F43B"/>
    <w:rsid w:val="5EF0ED7A"/>
    <w:rsid w:val="5EF7A7A1"/>
    <w:rsid w:val="5F6DFD14"/>
    <w:rsid w:val="5FFD7F83"/>
    <w:rsid w:val="67D798AB"/>
    <w:rsid w:val="67FCB6AB"/>
    <w:rsid w:val="6BBEDA37"/>
    <w:rsid w:val="6BFDFA72"/>
    <w:rsid w:val="6D7D53D1"/>
    <w:rsid w:val="6DF76135"/>
    <w:rsid w:val="6DFB9DF7"/>
    <w:rsid w:val="6E3FCF2A"/>
    <w:rsid w:val="6EFEC2A2"/>
    <w:rsid w:val="6FBBF0F5"/>
    <w:rsid w:val="6FCB0EA1"/>
    <w:rsid w:val="6FF5C173"/>
    <w:rsid w:val="6FF7E052"/>
    <w:rsid w:val="6FF94A28"/>
    <w:rsid w:val="6FFBFADC"/>
    <w:rsid w:val="6FFE80AE"/>
    <w:rsid w:val="6FFF4E4C"/>
    <w:rsid w:val="70FBC5D3"/>
    <w:rsid w:val="737E221E"/>
    <w:rsid w:val="73D5723C"/>
    <w:rsid w:val="74DB0B4A"/>
    <w:rsid w:val="767773CB"/>
    <w:rsid w:val="774EDF71"/>
    <w:rsid w:val="77AE1A18"/>
    <w:rsid w:val="77D59520"/>
    <w:rsid w:val="77FC0232"/>
    <w:rsid w:val="78D3B3C6"/>
    <w:rsid w:val="78F6861E"/>
    <w:rsid w:val="797B4A8A"/>
    <w:rsid w:val="7ACB0C9A"/>
    <w:rsid w:val="7AEF0A90"/>
    <w:rsid w:val="7AFB033C"/>
    <w:rsid w:val="7B74B801"/>
    <w:rsid w:val="7B9F60EC"/>
    <w:rsid w:val="7BB66EF0"/>
    <w:rsid w:val="7BC717A5"/>
    <w:rsid w:val="7BE6926F"/>
    <w:rsid w:val="7BEFD6F9"/>
    <w:rsid w:val="7BF6A3FB"/>
    <w:rsid w:val="7BFCE12D"/>
    <w:rsid w:val="7D7E8138"/>
    <w:rsid w:val="7DB5FE72"/>
    <w:rsid w:val="7DFEC03D"/>
    <w:rsid w:val="7DFF1756"/>
    <w:rsid w:val="7EAE92DD"/>
    <w:rsid w:val="7EFF5911"/>
    <w:rsid w:val="7F334CE6"/>
    <w:rsid w:val="7F3ED4D6"/>
    <w:rsid w:val="7F4FB988"/>
    <w:rsid w:val="7F762791"/>
    <w:rsid w:val="7F76B983"/>
    <w:rsid w:val="7F7B7A44"/>
    <w:rsid w:val="7F7F46B8"/>
    <w:rsid w:val="7F7F7AC4"/>
    <w:rsid w:val="7FBFB27C"/>
    <w:rsid w:val="7FCF88B9"/>
    <w:rsid w:val="7FDB2A4F"/>
    <w:rsid w:val="7FDDE869"/>
    <w:rsid w:val="7FDE619A"/>
    <w:rsid w:val="7FE302E7"/>
    <w:rsid w:val="7FEF3D1C"/>
    <w:rsid w:val="7FEFFEC7"/>
    <w:rsid w:val="7FF25CAF"/>
    <w:rsid w:val="7FF7AF21"/>
    <w:rsid w:val="7FFF6AC2"/>
    <w:rsid w:val="7FFF7647"/>
    <w:rsid w:val="7FFF9C47"/>
    <w:rsid w:val="7FFFB02B"/>
    <w:rsid w:val="93FB77BB"/>
    <w:rsid w:val="9CBB1FA9"/>
    <w:rsid w:val="9EFF8846"/>
    <w:rsid w:val="9FFAE616"/>
    <w:rsid w:val="9FFB32CF"/>
    <w:rsid w:val="9FFF3936"/>
    <w:rsid w:val="A1FE98BE"/>
    <w:rsid w:val="A733CA56"/>
    <w:rsid w:val="A7BBB353"/>
    <w:rsid w:val="A7F7F7B3"/>
    <w:rsid w:val="ABAFE29A"/>
    <w:rsid w:val="AF3CB4CE"/>
    <w:rsid w:val="AF519AFA"/>
    <w:rsid w:val="AF57E0CE"/>
    <w:rsid w:val="AF7F0D98"/>
    <w:rsid w:val="AFB5FC75"/>
    <w:rsid w:val="AFF531A6"/>
    <w:rsid w:val="AFFFA17E"/>
    <w:rsid w:val="B1F42402"/>
    <w:rsid w:val="B4BB8A05"/>
    <w:rsid w:val="B777441A"/>
    <w:rsid w:val="BB772D39"/>
    <w:rsid w:val="BBCF7BCD"/>
    <w:rsid w:val="BDFF81F6"/>
    <w:rsid w:val="BEF7CF5F"/>
    <w:rsid w:val="BF2701ED"/>
    <w:rsid w:val="BF6E54BB"/>
    <w:rsid w:val="BF6EAC64"/>
    <w:rsid w:val="BF7A25D9"/>
    <w:rsid w:val="BF7F29BD"/>
    <w:rsid w:val="BF9C698E"/>
    <w:rsid w:val="BFAA2730"/>
    <w:rsid w:val="BFEFFF01"/>
    <w:rsid w:val="BFFD901B"/>
    <w:rsid w:val="C67EABCE"/>
    <w:rsid w:val="C775C311"/>
    <w:rsid w:val="C9FAED9C"/>
    <w:rsid w:val="CEEB6676"/>
    <w:rsid w:val="CFEE0373"/>
    <w:rsid w:val="CFFF0B9D"/>
    <w:rsid w:val="D6DC30DA"/>
    <w:rsid w:val="D74F0661"/>
    <w:rsid w:val="D7BB1039"/>
    <w:rsid w:val="DB6F4DCB"/>
    <w:rsid w:val="DBBD5956"/>
    <w:rsid w:val="DBF90CE8"/>
    <w:rsid w:val="DCDEECFA"/>
    <w:rsid w:val="DCDF68D5"/>
    <w:rsid w:val="DD5FBB2D"/>
    <w:rsid w:val="DDD8D627"/>
    <w:rsid w:val="DDFD4439"/>
    <w:rsid w:val="DE350CC4"/>
    <w:rsid w:val="DF6F8984"/>
    <w:rsid w:val="DF7D7C67"/>
    <w:rsid w:val="DFE75142"/>
    <w:rsid w:val="DFEBA643"/>
    <w:rsid w:val="DFEF5455"/>
    <w:rsid w:val="E1EC90B3"/>
    <w:rsid w:val="E75F7BCE"/>
    <w:rsid w:val="E7F52623"/>
    <w:rsid w:val="E82F82A1"/>
    <w:rsid w:val="E9FF8489"/>
    <w:rsid w:val="EBFCD42A"/>
    <w:rsid w:val="EBFF8AB1"/>
    <w:rsid w:val="ED474A2D"/>
    <w:rsid w:val="ED75FCBE"/>
    <w:rsid w:val="EDFDD30E"/>
    <w:rsid w:val="EE27E29B"/>
    <w:rsid w:val="EE7DBBD5"/>
    <w:rsid w:val="EEDB2912"/>
    <w:rsid w:val="F3FFFFB4"/>
    <w:rsid w:val="F4FB2970"/>
    <w:rsid w:val="F5F72C0A"/>
    <w:rsid w:val="F5FFDD7A"/>
    <w:rsid w:val="F7372457"/>
    <w:rsid w:val="F737EE08"/>
    <w:rsid w:val="F79D229C"/>
    <w:rsid w:val="F7F33990"/>
    <w:rsid w:val="F7F58DE6"/>
    <w:rsid w:val="F7FA5B41"/>
    <w:rsid w:val="F7FB17B9"/>
    <w:rsid w:val="F8DF84B2"/>
    <w:rsid w:val="F9C3FFA4"/>
    <w:rsid w:val="F9E74493"/>
    <w:rsid w:val="FA5CE27E"/>
    <w:rsid w:val="FA5EB53F"/>
    <w:rsid w:val="FAFF80BB"/>
    <w:rsid w:val="FB5F766C"/>
    <w:rsid w:val="FB772F3C"/>
    <w:rsid w:val="FB7EEAF3"/>
    <w:rsid w:val="FBB5755F"/>
    <w:rsid w:val="FBF57F78"/>
    <w:rsid w:val="FBFBCC72"/>
    <w:rsid w:val="FBFF2507"/>
    <w:rsid w:val="FBFF3377"/>
    <w:rsid w:val="FC5D4BD4"/>
    <w:rsid w:val="FC722032"/>
    <w:rsid w:val="FCFE97E3"/>
    <w:rsid w:val="FD6BE9CF"/>
    <w:rsid w:val="FD971008"/>
    <w:rsid w:val="FDBF5118"/>
    <w:rsid w:val="FDDD99F0"/>
    <w:rsid w:val="FDEF1B84"/>
    <w:rsid w:val="FDF75B84"/>
    <w:rsid w:val="FDF986CA"/>
    <w:rsid w:val="FE3F2A68"/>
    <w:rsid w:val="FE7531DD"/>
    <w:rsid w:val="FEBF33C4"/>
    <w:rsid w:val="FECFB54C"/>
    <w:rsid w:val="FEDD8C92"/>
    <w:rsid w:val="FEF7E3C8"/>
    <w:rsid w:val="FF59389A"/>
    <w:rsid w:val="FF9FA249"/>
    <w:rsid w:val="FFBFCA06"/>
    <w:rsid w:val="FFCF23DB"/>
    <w:rsid w:val="FFFDF138"/>
    <w:rsid w:val="FFFF6E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1"/>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Luxi Sans" w:hAnsi="Luxi Sans" w:eastAsia="黑体"/>
      <w:b/>
    </w:rPr>
  </w:style>
  <w:style w:type="paragraph" w:styleId="4">
    <w:name w:val="heading 3"/>
    <w:basedOn w:val="1"/>
    <w:next w:val="1"/>
    <w:qFormat/>
    <w:uiPriority w:val="0"/>
    <w:pPr>
      <w:keepNext/>
      <w:keepLines/>
      <w:widowControl w:val="0"/>
      <w:spacing w:before="260" w:after="260" w:line="415" w:lineRule="auto"/>
      <w:outlineLvl w:val="2"/>
    </w:pPr>
    <w:rPr>
      <w:b/>
    </w:rPr>
  </w:style>
  <w:style w:type="character" w:default="1" w:styleId="12">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annotation subject"/>
    <w:basedOn w:val="5"/>
    <w:next w:val="5"/>
    <w:qFormat/>
    <w:uiPriority w:val="0"/>
    <w:rPr>
      <w:b/>
      <w:bCs/>
    </w:rPr>
  </w:style>
  <w:style w:type="character" w:styleId="13">
    <w:name w:val="annotation reference"/>
    <w:basedOn w:val="12"/>
    <w:qFormat/>
    <w:uiPriority w:val="0"/>
    <w:rPr>
      <w:sz w:val="21"/>
      <w:szCs w:val="21"/>
    </w:rPr>
  </w:style>
  <w:style w:type="paragraph" w:styleId="14">
    <w:name w:val="List Paragraph"/>
    <w:basedOn w:val="1"/>
    <w:qFormat/>
    <w:uiPriority w:val="0"/>
    <w:pPr>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HP</Company>
  <Pages>10</Pages>
  <Words>5115</Words>
  <Characters>5158</Characters>
  <Lines>200</Lines>
  <Paragraphs>33</Paragraphs>
  <TotalTime>25</TotalTime>
  <ScaleCrop>false</ScaleCrop>
  <LinksUpToDate>false</LinksUpToDate>
  <CharactersWithSpaces>5158</CharactersWithSpaces>
  <Application>WPS Office_11.8.2.10422_F1E327BC-269C-435d-A152-05C5408002CA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2020-06-07T05:05:00Z</dcterms:created>
  <dc:creator>hp</dc:creator>
  <cp:lastModifiedBy>user</cp:lastModifiedBy>
  <cp:lastPrinted>2022-12-07T03:30:00Z</cp:lastPrinted>
  <dcterms:modified xsi:type="dcterms:W3CDTF">2023-01-05T09:25:55Z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59B960A8496F43E98308E41B7F846B71</vt:lpwstr>
  </property>
</Properties>
</file>